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384E" w14:textId="77777777" w:rsidR="00D77CDE" w:rsidRDefault="00D77CDE" w:rsidP="00D77CDE">
      <w:pPr>
        <w:spacing w:line="276" w:lineRule="auto"/>
        <w:ind w:right="42"/>
        <w:jc w:val="center"/>
        <w:outlineLvl w:val="0"/>
        <w:rPr>
          <w:sz w:val="32"/>
          <w:szCs w:val="32"/>
        </w:rPr>
      </w:pPr>
    </w:p>
    <w:p w14:paraId="1229DF7B" w14:textId="77777777" w:rsidR="00D77CDE" w:rsidRDefault="00D77CDE" w:rsidP="00D77CDE">
      <w:pPr>
        <w:spacing w:line="276" w:lineRule="auto"/>
        <w:ind w:right="42"/>
        <w:jc w:val="center"/>
        <w:outlineLvl w:val="0"/>
        <w:rPr>
          <w:sz w:val="32"/>
          <w:szCs w:val="32"/>
        </w:rPr>
      </w:pPr>
    </w:p>
    <w:p w14:paraId="6B6F2EAC" w14:textId="77777777" w:rsidR="00D77CDE" w:rsidRDefault="00D77CDE" w:rsidP="00D77CDE">
      <w:pPr>
        <w:spacing w:line="276" w:lineRule="auto"/>
        <w:ind w:right="42"/>
        <w:jc w:val="center"/>
        <w:outlineLvl w:val="0"/>
        <w:rPr>
          <w:sz w:val="32"/>
          <w:szCs w:val="32"/>
        </w:rPr>
      </w:pPr>
    </w:p>
    <w:p w14:paraId="235E7725" w14:textId="77777777" w:rsidR="00D77CDE" w:rsidRDefault="00D77CDE" w:rsidP="00D77CDE">
      <w:pPr>
        <w:spacing w:line="276" w:lineRule="auto"/>
        <w:ind w:right="42"/>
        <w:jc w:val="center"/>
        <w:outlineLvl w:val="0"/>
        <w:rPr>
          <w:sz w:val="32"/>
          <w:szCs w:val="32"/>
        </w:rPr>
      </w:pPr>
    </w:p>
    <w:p w14:paraId="7A0D8740" w14:textId="77777777" w:rsidR="00D77CDE" w:rsidRDefault="00D77CDE" w:rsidP="00D77CDE">
      <w:pPr>
        <w:spacing w:line="276" w:lineRule="auto"/>
        <w:ind w:right="42"/>
        <w:jc w:val="center"/>
        <w:outlineLvl w:val="0"/>
        <w:rPr>
          <w:sz w:val="32"/>
          <w:szCs w:val="32"/>
        </w:rPr>
      </w:pPr>
    </w:p>
    <w:p w14:paraId="740AA705" w14:textId="77777777" w:rsidR="00D77CDE" w:rsidRDefault="00D77CDE" w:rsidP="00D77CDE">
      <w:pPr>
        <w:spacing w:line="276" w:lineRule="auto"/>
        <w:ind w:right="42"/>
        <w:jc w:val="center"/>
        <w:outlineLvl w:val="0"/>
        <w:rPr>
          <w:sz w:val="32"/>
          <w:szCs w:val="32"/>
        </w:rPr>
      </w:pPr>
    </w:p>
    <w:p w14:paraId="57B665EC" w14:textId="77777777" w:rsidR="00D77CDE" w:rsidRDefault="00D77CDE" w:rsidP="00D77CDE">
      <w:pPr>
        <w:spacing w:line="276" w:lineRule="auto"/>
        <w:ind w:right="42"/>
        <w:jc w:val="center"/>
        <w:outlineLvl w:val="0"/>
        <w:rPr>
          <w:sz w:val="32"/>
          <w:szCs w:val="32"/>
        </w:rPr>
      </w:pPr>
    </w:p>
    <w:p w14:paraId="0B70F95C" w14:textId="77777777" w:rsidR="00D77CDE" w:rsidRPr="005A7464" w:rsidRDefault="00D77CDE" w:rsidP="00D77CDE">
      <w:pPr>
        <w:spacing w:line="360" w:lineRule="auto"/>
        <w:ind w:right="42"/>
        <w:jc w:val="center"/>
        <w:outlineLvl w:val="0"/>
        <w:rPr>
          <w:sz w:val="32"/>
          <w:szCs w:val="32"/>
        </w:rPr>
      </w:pPr>
      <w:r w:rsidRPr="005A7464">
        <w:rPr>
          <w:sz w:val="32"/>
          <w:szCs w:val="32"/>
        </w:rPr>
        <w:t>BAISHŌRON:</w:t>
      </w:r>
    </w:p>
    <w:p w14:paraId="081B041C" w14:textId="77777777" w:rsidR="00D77CDE" w:rsidRPr="005A7464" w:rsidRDefault="00D77CDE" w:rsidP="00D77CDE">
      <w:pPr>
        <w:spacing w:line="360" w:lineRule="auto"/>
        <w:ind w:right="42"/>
        <w:jc w:val="center"/>
        <w:outlineLvl w:val="0"/>
        <w:rPr>
          <w:sz w:val="32"/>
          <w:szCs w:val="32"/>
        </w:rPr>
      </w:pPr>
      <w:r w:rsidRPr="005A7464">
        <w:rPr>
          <w:sz w:val="32"/>
          <w:szCs w:val="32"/>
        </w:rPr>
        <w:t>OF PINE AND PLUM</w:t>
      </w:r>
    </w:p>
    <w:p w14:paraId="0F7956CE" w14:textId="77777777" w:rsidR="00D77CDE" w:rsidRDefault="00D77CDE" w:rsidP="00D77CDE">
      <w:pPr>
        <w:spacing w:line="276" w:lineRule="auto"/>
        <w:ind w:right="42"/>
        <w:rPr>
          <w:szCs w:val="22"/>
        </w:rPr>
      </w:pPr>
    </w:p>
    <w:p w14:paraId="3D03CBE4" w14:textId="77777777" w:rsidR="00D77CDE" w:rsidRDefault="00D77CDE" w:rsidP="00D77CDE">
      <w:pPr>
        <w:keepLines w:val="0"/>
        <w:widowControl/>
        <w:rPr>
          <w:szCs w:val="22"/>
        </w:rPr>
      </w:pPr>
    </w:p>
    <w:p w14:paraId="55B1C65D" w14:textId="77777777" w:rsidR="00D77CDE" w:rsidRDefault="00D77CDE" w:rsidP="00D77CDE">
      <w:pPr>
        <w:keepLines w:val="0"/>
        <w:widowControl/>
        <w:jc w:val="center"/>
        <w:rPr>
          <w:sz w:val="24"/>
          <w:szCs w:val="24"/>
        </w:rPr>
      </w:pPr>
      <w:r w:rsidRPr="005A7464">
        <w:rPr>
          <w:sz w:val="24"/>
          <w:szCs w:val="24"/>
        </w:rPr>
        <w:t>Translated by Shuzo Uyenaka</w:t>
      </w:r>
    </w:p>
    <w:p w14:paraId="2013C424" w14:textId="77777777" w:rsidR="00D77CDE" w:rsidRPr="005A7464" w:rsidRDefault="00D77CDE" w:rsidP="00D77CDE">
      <w:pPr>
        <w:keepLines w:val="0"/>
        <w:widowControl/>
        <w:jc w:val="center"/>
        <w:rPr>
          <w:sz w:val="24"/>
          <w:szCs w:val="24"/>
        </w:rPr>
      </w:pPr>
    </w:p>
    <w:p w14:paraId="31585133" w14:textId="77777777" w:rsidR="00D77CDE" w:rsidRPr="005A7464" w:rsidRDefault="00D77CDE" w:rsidP="00D77CDE">
      <w:pPr>
        <w:keepLines w:val="0"/>
        <w:widowControl/>
        <w:jc w:val="center"/>
        <w:rPr>
          <w:sz w:val="24"/>
          <w:szCs w:val="24"/>
        </w:rPr>
      </w:pPr>
      <w:r w:rsidRPr="005A7464">
        <w:rPr>
          <w:sz w:val="24"/>
          <w:szCs w:val="24"/>
        </w:rPr>
        <w:t>Introduced and annotated by Thomas Conlan</w:t>
      </w:r>
    </w:p>
    <w:p w14:paraId="242FED3E" w14:textId="77777777" w:rsidR="00D77CDE" w:rsidRDefault="00D77CDE" w:rsidP="00D77CDE">
      <w:pPr>
        <w:keepLines w:val="0"/>
        <w:widowControl/>
        <w:rPr>
          <w:szCs w:val="22"/>
        </w:rPr>
      </w:pPr>
    </w:p>
    <w:p w14:paraId="5DAD2396" w14:textId="77777777" w:rsidR="00D77CDE" w:rsidRDefault="00D77CDE" w:rsidP="00D77CDE">
      <w:pPr>
        <w:keepLines w:val="0"/>
        <w:widowControl/>
        <w:rPr>
          <w:szCs w:val="22"/>
        </w:rPr>
      </w:pPr>
      <w:r>
        <w:rPr>
          <w:szCs w:val="22"/>
        </w:rPr>
        <w:br w:type="page"/>
      </w:r>
    </w:p>
    <w:p w14:paraId="563B16F2" w14:textId="77777777" w:rsidR="00D77CDE" w:rsidRDefault="00D77CDE" w:rsidP="00D77CDE">
      <w:pPr>
        <w:spacing w:line="276" w:lineRule="auto"/>
        <w:jc w:val="center"/>
        <w:rPr>
          <w:szCs w:val="22"/>
        </w:rPr>
      </w:pPr>
    </w:p>
    <w:p w14:paraId="33EC1982" w14:textId="77777777" w:rsidR="00D77CDE" w:rsidRDefault="00D77CDE" w:rsidP="00D77CDE">
      <w:pPr>
        <w:spacing w:line="276" w:lineRule="auto"/>
        <w:jc w:val="center"/>
        <w:rPr>
          <w:szCs w:val="22"/>
        </w:rPr>
      </w:pPr>
    </w:p>
    <w:p w14:paraId="039B50AB" w14:textId="77777777" w:rsidR="00D77CDE" w:rsidRDefault="00D77CDE" w:rsidP="00D77CDE">
      <w:pPr>
        <w:spacing w:line="276" w:lineRule="auto"/>
        <w:jc w:val="center"/>
        <w:rPr>
          <w:szCs w:val="22"/>
        </w:rPr>
      </w:pPr>
      <w:r>
        <w:rPr>
          <w:szCs w:val="22"/>
        </w:rPr>
        <w:t>INTRODUCTION</w:t>
      </w:r>
    </w:p>
    <w:p w14:paraId="78726BB0" w14:textId="77777777" w:rsidR="00D77CDE" w:rsidRDefault="00D77CDE" w:rsidP="00D77CDE">
      <w:pPr>
        <w:spacing w:line="276" w:lineRule="auto"/>
        <w:rPr>
          <w:szCs w:val="22"/>
        </w:rPr>
      </w:pPr>
    </w:p>
    <w:p w14:paraId="589A2849" w14:textId="77777777" w:rsidR="00D77CDE" w:rsidRPr="00542E30" w:rsidRDefault="00D77CDE" w:rsidP="00D77CDE">
      <w:pPr>
        <w:spacing w:line="276" w:lineRule="auto"/>
        <w:jc w:val="both"/>
        <w:rPr>
          <w:szCs w:val="22"/>
        </w:rPr>
      </w:pPr>
      <w:r w:rsidRPr="00542E30">
        <w:rPr>
          <w:szCs w:val="22"/>
        </w:rPr>
        <w:t>Among written accounts of medieval Japanese warfare</w:t>
      </w:r>
      <w:r>
        <w:rPr>
          <w:szCs w:val="22"/>
        </w:rPr>
        <w:t xml:space="preserve">, </w:t>
      </w:r>
      <w:r w:rsidRPr="00542E30">
        <w:rPr>
          <w:i/>
          <w:szCs w:val="22"/>
        </w:rPr>
        <w:t xml:space="preserve">Baishōron </w:t>
      </w:r>
      <w:r w:rsidRPr="00542E30">
        <w:rPr>
          <w:szCs w:val="22"/>
        </w:rPr>
        <w:t>remains relatively obscure.</w:t>
      </w:r>
      <w:r w:rsidRPr="00542E30">
        <w:rPr>
          <w:rStyle w:val="FootnoteReference"/>
          <w:szCs w:val="22"/>
        </w:rPr>
        <w:footnoteReference w:id="1"/>
      </w:r>
      <w:r>
        <w:rPr>
          <w:szCs w:val="22"/>
        </w:rPr>
        <w:t xml:space="preserve"> </w:t>
      </w:r>
      <w:r w:rsidRPr="00542E30">
        <w:rPr>
          <w:i/>
          <w:szCs w:val="22"/>
        </w:rPr>
        <w:t>Taiheiki</w:t>
      </w:r>
      <w:r w:rsidRPr="00542E30">
        <w:rPr>
          <w:szCs w:val="22"/>
        </w:rPr>
        <w:t>, the more popular and far larger chronicle of the age, overshadowed it for centuries.</w:t>
      </w:r>
      <w:r w:rsidRPr="00542E30">
        <w:rPr>
          <w:rStyle w:val="FootnoteReference"/>
          <w:szCs w:val="22"/>
        </w:rPr>
        <w:footnoteReference w:id="2"/>
      </w:r>
      <w:r>
        <w:rPr>
          <w:szCs w:val="22"/>
        </w:rPr>
        <w:t xml:space="preserve">  While</w:t>
      </w:r>
      <w:r w:rsidRPr="00542E30">
        <w:rPr>
          <w:szCs w:val="22"/>
        </w:rPr>
        <w:t xml:space="preserve"> </w:t>
      </w:r>
      <w:r w:rsidRPr="00542E30">
        <w:rPr>
          <w:i/>
          <w:szCs w:val="22"/>
        </w:rPr>
        <w:t>Taiheiki</w:t>
      </w:r>
      <w:r w:rsidRPr="00542E30">
        <w:rPr>
          <w:szCs w:val="22"/>
        </w:rPr>
        <w:t xml:space="preserve"> recounts a generation of warfare in forty chapters and over a thousand pages, </w:t>
      </w:r>
      <w:r w:rsidRPr="00542E30">
        <w:rPr>
          <w:i/>
          <w:szCs w:val="22"/>
        </w:rPr>
        <w:t>Baishōron,</w:t>
      </w:r>
      <w:r w:rsidRPr="00542E30">
        <w:rPr>
          <w:szCs w:val="22"/>
        </w:rPr>
        <w:t xml:space="preserve"> just over a tenth as long, covers six years in detail.</w:t>
      </w:r>
    </w:p>
    <w:p w14:paraId="2D086158" w14:textId="77777777" w:rsidR="00D77CDE" w:rsidRPr="00FD3AD3" w:rsidRDefault="00D77CDE" w:rsidP="00D77CDE">
      <w:pPr>
        <w:spacing w:line="276" w:lineRule="auto"/>
        <w:ind w:firstLine="284"/>
        <w:jc w:val="both"/>
        <w:rPr>
          <w:szCs w:val="22"/>
        </w:rPr>
      </w:pPr>
      <w:r w:rsidRPr="00FD3AD3">
        <w:rPr>
          <w:i/>
          <w:szCs w:val="22"/>
        </w:rPr>
        <w:t>Baishōron</w:t>
      </w:r>
      <w:r>
        <w:rPr>
          <w:szCs w:val="22"/>
        </w:rPr>
        <w:t>’s survival is remarkable</w:t>
      </w:r>
      <w:r w:rsidRPr="00FD3AD3">
        <w:rPr>
          <w:szCs w:val="22"/>
        </w:rPr>
        <w:t xml:space="preserve">, </w:t>
      </w:r>
      <w:r>
        <w:rPr>
          <w:szCs w:val="22"/>
        </w:rPr>
        <w:t>since the work</w:t>
      </w:r>
      <w:r w:rsidRPr="00FD3AD3">
        <w:rPr>
          <w:szCs w:val="22"/>
        </w:rPr>
        <w:t xml:space="preserve"> was ideologically obsolescen</w:t>
      </w:r>
      <w:r>
        <w:rPr>
          <w:szCs w:val="22"/>
        </w:rPr>
        <w:t>t when it was written.</w:t>
      </w:r>
      <w:r w:rsidRPr="00FD3AD3">
        <w:rPr>
          <w:szCs w:val="22"/>
        </w:rPr>
        <w:t xml:space="preserve"> </w:t>
      </w:r>
      <w:r>
        <w:rPr>
          <w:szCs w:val="22"/>
        </w:rPr>
        <w:t xml:space="preserve">It </w:t>
      </w:r>
      <w:r w:rsidRPr="00FD3AD3">
        <w:rPr>
          <w:szCs w:val="22"/>
        </w:rPr>
        <w:t xml:space="preserve">recounts the glory of the Ashikaga brothers Takauji, </w:t>
      </w:r>
      <w:r>
        <w:rPr>
          <w:szCs w:val="22"/>
        </w:rPr>
        <w:t>the first shogun, and Tadayoshi. These two</w:t>
      </w:r>
      <w:r w:rsidRPr="00FD3AD3">
        <w:rPr>
          <w:szCs w:val="22"/>
        </w:rPr>
        <w:t xml:space="preserve"> founded a warrior government and worked together until 1350, when they became</w:t>
      </w:r>
      <w:r>
        <w:rPr>
          <w:szCs w:val="22"/>
        </w:rPr>
        <w:t xml:space="preserve"> embroiled in a mortal struggle known as the Kannō no jōran</w:t>
      </w:r>
      <w:r w:rsidRPr="00FD3AD3">
        <w:rPr>
          <w:szCs w:val="22"/>
        </w:rPr>
        <w:t xml:space="preserve"> (</w:t>
      </w:r>
      <w:r>
        <w:rPr>
          <w:szCs w:val="22"/>
        </w:rPr>
        <w:t xml:space="preserve">the Kannō Anarchy, </w:t>
      </w:r>
      <w:r w:rsidRPr="00FD3AD3">
        <w:rPr>
          <w:szCs w:val="22"/>
        </w:rPr>
        <w:t xml:space="preserve">1350-52). This conflict resulted in Tadayoshi’s </w:t>
      </w:r>
      <w:r>
        <w:rPr>
          <w:szCs w:val="22"/>
        </w:rPr>
        <w:t>death</w:t>
      </w:r>
      <w:r w:rsidRPr="00FD3AD3">
        <w:rPr>
          <w:szCs w:val="22"/>
        </w:rPr>
        <w:t xml:space="preserve"> and the near destruction of the Ashikaga regime. </w:t>
      </w:r>
      <w:r>
        <w:rPr>
          <w:szCs w:val="22"/>
        </w:rPr>
        <w:t xml:space="preserve">By </w:t>
      </w:r>
      <w:r w:rsidRPr="00FD3AD3">
        <w:rPr>
          <w:szCs w:val="22"/>
        </w:rPr>
        <w:t>presenting an early justification of Ashikaga rule</w:t>
      </w:r>
      <w:r>
        <w:rPr>
          <w:szCs w:val="22"/>
        </w:rPr>
        <w:t xml:space="preserve">, </w:t>
      </w:r>
      <w:r w:rsidRPr="00FD3AD3">
        <w:rPr>
          <w:i/>
          <w:szCs w:val="22"/>
        </w:rPr>
        <w:t>Baishōron</w:t>
      </w:r>
      <w:r>
        <w:rPr>
          <w:szCs w:val="22"/>
        </w:rPr>
        <w:t xml:space="preserve"> </w:t>
      </w:r>
      <w:r w:rsidRPr="00FD3AD3">
        <w:rPr>
          <w:szCs w:val="22"/>
        </w:rPr>
        <w:t>is critical to understanding why Takauji and Tada</w:t>
      </w:r>
      <w:r>
        <w:rPr>
          <w:szCs w:val="22"/>
        </w:rPr>
        <w:t>yoshi succeeded so well between</w:t>
      </w:r>
      <w:r w:rsidRPr="00FD3AD3">
        <w:rPr>
          <w:szCs w:val="22"/>
        </w:rPr>
        <w:t xml:space="preserve"> 1333 until 1350.  The only comparable surviving monument of their authority consists of two remarkable portraits</w:t>
      </w:r>
      <w:r>
        <w:rPr>
          <w:szCs w:val="22"/>
        </w:rPr>
        <w:t>, one</w:t>
      </w:r>
      <w:r w:rsidRPr="00FD3AD3">
        <w:rPr>
          <w:szCs w:val="22"/>
        </w:rPr>
        <w:t xml:space="preserve"> of Takauji and </w:t>
      </w:r>
      <w:r>
        <w:rPr>
          <w:szCs w:val="22"/>
        </w:rPr>
        <w:t xml:space="preserve">one </w:t>
      </w:r>
      <w:r w:rsidRPr="00FD3AD3">
        <w:rPr>
          <w:szCs w:val="22"/>
        </w:rPr>
        <w:t>Tadayoshi</w:t>
      </w:r>
      <w:r>
        <w:rPr>
          <w:szCs w:val="22"/>
        </w:rPr>
        <w:t>, likewise</w:t>
      </w:r>
      <w:r w:rsidRPr="00FD3AD3">
        <w:rPr>
          <w:szCs w:val="22"/>
        </w:rPr>
        <w:t xml:space="preserve"> </w:t>
      </w:r>
      <w:r>
        <w:rPr>
          <w:szCs w:val="22"/>
        </w:rPr>
        <w:t>executed</w:t>
      </w:r>
      <w:r w:rsidRPr="00FD3AD3">
        <w:rPr>
          <w:szCs w:val="22"/>
        </w:rPr>
        <w:t xml:space="preserve"> before 1350.</w:t>
      </w:r>
      <w:r w:rsidRPr="00FD3AD3">
        <w:rPr>
          <w:rStyle w:val="FootnoteReference"/>
          <w:szCs w:val="22"/>
        </w:rPr>
        <w:footnoteReference w:id="3"/>
      </w:r>
    </w:p>
    <w:p w14:paraId="358B4B3B" w14:textId="77777777" w:rsidR="00D77CDE" w:rsidRPr="00FD3AD3" w:rsidRDefault="00D77CDE" w:rsidP="00D77CDE">
      <w:pPr>
        <w:keepLines w:val="0"/>
        <w:spacing w:line="276" w:lineRule="auto"/>
        <w:ind w:firstLine="284"/>
        <w:jc w:val="both"/>
        <w:rPr>
          <w:szCs w:val="22"/>
        </w:rPr>
      </w:pPr>
      <w:r>
        <w:rPr>
          <w:szCs w:val="22"/>
        </w:rPr>
        <w:t xml:space="preserve">The earliest reference to </w:t>
      </w:r>
      <w:r w:rsidRPr="00FD3AD3">
        <w:rPr>
          <w:i/>
          <w:szCs w:val="22"/>
        </w:rPr>
        <w:t>Baishōron</w:t>
      </w:r>
      <w:r w:rsidRPr="00FD3AD3">
        <w:rPr>
          <w:szCs w:val="22"/>
        </w:rPr>
        <w:t xml:space="preserve"> </w:t>
      </w:r>
      <w:r>
        <w:rPr>
          <w:szCs w:val="22"/>
        </w:rPr>
        <w:t>dates from 1420,</w:t>
      </w:r>
      <w:r>
        <w:rPr>
          <w:rStyle w:val="FootnoteReference"/>
          <w:szCs w:val="22"/>
        </w:rPr>
        <w:footnoteReference w:id="4"/>
      </w:r>
      <w:r>
        <w:rPr>
          <w:szCs w:val="22"/>
        </w:rPr>
        <w:t xml:space="preserve"> and t</w:t>
      </w:r>
      <w:r w:rsidRPr="00FD3AD3">
        <w:rPr>
          <w:szCs w:val="22"/>
        </w:rPr>
        <w:t xml:space="preserve">he oldest </w:t>
      </w:r>
      <w:r>
        <w:rPr>
          <w:szCs w:val="22"/>
        </w:rPr>
        <w:t>manuscripts</w:t>
      </w:r>
      <w:r w:rsidRPr="00FD3AD3">
        <w:rPr>
          <w:szCs w:val="22"/>
        </w:rPr>
        <w:t xml:space="preserve"> of </w:t>
      </w:r>
      <w:r>
        <w:rPr>
          <w:szCs w:val="22"/>
        </w:rPr>
        <w:t>it</w:t>
      </w:r>
      <w:r w:rsidRPr="00FD3AD3">
        <w:rPr>
          <w:szCs w:val="22"/>
        </w:rPr>
        <w:t xml:space="preserve"> date from the general time of the Ō</w:t>
      </w:r>
      <w:r>
        <w:rPr>
          <w:szCs w:val="22"/>
        </w:rPr>
        <w:t>nin War (1467-77). However,</w:t>
      </w:r>
      <w:r w:rsidRPr="00FD3AD3">
        <w:rPr>
          <w:szCs w:val="22"/>
        </w:rPr>
        <w:t xml:space="preserve"> the </w:t>
      </w:r>
      <w:r>
        <w:rPr>
          <w:szCs w:val="22"/>
        </w:rPr>
        <w:t>work</w:t>
      </w:r>
      <w:r w:rsidRPr="00FD3AD3">
        <w:rPr>
          <w:szCs w:val="22"/>
        </w:rPr>
        <w:t xml:space="preserve"> attracted little attention until it was copied again in the seventeenth century.</w:t>
      </w:r>
      <w:r w:rsidRPr="00FD3AD3">
        <w:rPr>
          <w:rStyle w:val="FootnoteReference"/>
          <w:szCs w:val="22"/>
        </w:rPr>
        <w:footnoteReference w:id="5"/>
      </w:r>
      <w:r w:rsidRPr="00FD3AD3">
        <w:rPr>
          <w:szCs w:val="22"/>
        </w:rPr>
        <w:t xml:space="preserve"> </w:t>
      </w:r>
      <w:r>
        <w:rPr>
          <w:szCs w:val="22"/>
        </w:rPr>
        <w:t>Late in that</w:t>
      </w:r>
      <w:r w:rsidRPr="00FD3AD3">
        <w:rPr>
          <w:szCs w:val="22"/>
        </w:rPr>
        <w:t xml:space="preserve"> century, scholars became interested in the epic </w:t>
      </w:r>
      <w:r w:rsidRPr="00FD3AD3">
        <w:rPr>
          <w:i/>
          <w:szCs w:val="22"/>
        </w:rPr>
        <w:t>Taiheiki</w:t>
      </w:r>
      <w:r w:rsidRPr="00FD3AD3">
        <w:rPr>
          <w:szCs w:val="22"/>
        </w:rPr>
        <w:t xml:space="preserve"> and published a comparative analysis of </w:t>
      </w:r>
      <w:r>
        <w:rPr>
          <w:szCs w:val="22"/>
        </w:rPr>
        <w:t>its variant texts</w:t>
      </w:r>
      <w:r w:rsidRPr="00FD3AD3">
        <w:rPr>
          <w:szCs w:val="22"/>
        </w:rPr>
        <w:t xml:space="preserve">, </w:t>
      </w:r>
      <w:r>
        <w:rPr>
          <w:szCs w:val="22"/>
        </w:rPr>
        <w:t xml:space="preserve">entitled </w:t>
      </w:r>
      <w:r w:rsidRPr="00FD3AD3">
        <w:rPr>
          <w:i/>
          <w:szCs w:val="22"/>
        </w:rPr>
        <w:t>Sankō Taiheiki</w:t>
      </w:r>
      <w:r w:rsidRPr="00FD3AD3">
        <w:rPr>
          <w:szCs w:val="22"/>
        </w:rPr>
        <w:t xml:space="preserve">. The </w:t>
      </w:r>
      <w:r w:rsidRPr="00FD3AD3">
        <w:rPr>
          <w:i/>
          <w:szCs w:val="22"/>
        </w:rPr>
        <w:t>Sankō Taiheiki</w:t>
      </w:r>
      <w:r w:rsidRPr="00FD3AD3">
        <w:rPr>
          <w:szCs w:val="22"/>
        </w:rPr>
        <w:t xml:space="preserve"> compilers dismissed </w:t>
      </w:r>
      <w:r w:rsidRPr="00FD3AD3">
        <w:rPr>
          <w:i/>
          <w:szCs w:val="22"/>
        </w:rPr>
        <w:t>Baishōron</w:t>
      </w:r>
      <w:r w:rsidRPr="00FD3AD3">
        <w:rPr>
          <w:szCs w:val="22"/>
        </w:rPr>
        <w:t xml:space="preserve"> </w:t>
      </w:r>
      <w:r>
        <w:rPr>
          <w:szCs w:val="22"/>
        </w:rPr>
        <w:t xml:space="preserve">as being riddled with errors </w:t>
      </w:r>
      <w:r w:rsidRPr="00FD3AD3">
        <w:rPr>
          <w:szCs w:val="22"/>
        </w:rPr>
        <w:t xml:space="preserve">and characterized it as </w:t>
      </w:r>
      <w:r>
        <w:rPr>
          <w:szCs w:val="22"/>
        </w:rPr>
        <w:t>unreliable</w:t>
      </w:r>
      <w:r w:rsidRPr="00FD3AD3">
        <w:rPr>
          <w:szCs w:val="22"/>
        </w:rPr>
        <w:t xml:space="preserve"> because it repeatedly contradicted </w:t>
      </w:r>
      <w:r w:rsidRPr="00FD3AD3">
        <w:rPr>
          <w:i/>
          <w:szCs w:val="22"/>
        </w:rPr>
        <w:t>Taiheiki</w:t>
      </w:r>
      <w:r w:rsidRPr="00FD3AD3">
        <w:rPr>
          <w:szCs w:val="22"/>
        </w:rPr>
        <w:t>.</w:t>
      </w:r>
      <w:r w:rsidRPr="00FD3AD3">
        <w:rPr>
          <w:rStyle w:val="FootnoteReference"/>
          <w:szCs w:val="22"/>
        </w:rPr>
        <w:footnoteReference w:id="6"/>
      </w:r>
      <w:r w:rsidRPr="00FD3AD3">
        <w:rPr>
          <w:szCs w:val="22"/>
        </w:rPr>
        <w:t xml:space="preserve"> </w:t>
      </w:r>
    </w:p>
    <w:p w14:paraId="3BD1DD3E" w14:textId="77777777" w:rsidR="00D77CDE" w:rsidRPr="00FD3AD3" w:rsidRDefault="00D77CDE" w:rsidP="00D77CDE">
      <w:pPr>
        <w:spacing w:line="276" w:lineRule="auto"/>
        <w:ind w:firstLine="284"/>
        <w:jc w:val="both"/>
        <w:rPr>
          <w:szCs w:val="22"/>
        </w:rPr>
      </w:pPr>
      <w:r>
        <w:rPr>
          <w:szCs w:val="22"/>
        </w:rPr>
        <w:lastRenderedPageBreak/>
        <w:t xml:space="preserve">Japanese historians </w:t>
      </w:r>
      <w:r w:rsidRPr="00FD3AD3">
        <w:rPr>
          <w:szCs w:val="22"/>
        </w:rPr>
        <w:t>more rigorous</w:t>
      </w:r>
      <w:r>
        <w:rPr>
          <w:szCs w:val="22"/>
        </w:rPr>
        <w:t>ly</w:t>
      </w:r>
      <w:r w:rsidRPr="00FD3AD3">
        <w:rPr>
          <w:szCs w:val="22"/>
        </w:rPr>
        <w:t xml:space="preserve"> debate</w:t>
      </w:r>
      <w:r>
        <w:rPr>
          <w:szCs w:val="22"/>
        </w:rPr>
        <w:t>d</w:t>
      </w:r>
      <w:r w:rsidRPr="00FD3AD3">
        <w:rPr>
          <w:szCs w:val="22"/>
        </w:rPr>
        <w:t xml:space="preserve"> the </w:t>
      </w:r>
      <w:r>
        <w:rPr>
          <w:szCs w:val="22"/>
        </w:rPr>
        <w:t>reliability of sources during</w:t>
      </w:r>
      <w:r w:rsidRPr="00FD3AD3">
        <w:rPr>
          <w:szCs w:val="22"/>
        </w:rPr>
        <w:t xml:space="preserve"> the Meiji era (1868-1912), </w:t>
      </w:r>
      <w:r>
        <w:rPr>
          <w:szCs w:val="22"/>
        </w:rPr>
        <w:t>while</w:t>
      </w:r>
      <w:r w:rsidRPr="00FD3AD3">
        <w:rPr>
          <w:szCs w:val="22"/>
        </w:rPr>
        <w:t xml:space="preserve"> the state promoted the compilation of </w:t>
      </w:r>
      <w:r w:rsidRPr="00FD3AD3">
        <w:rPr>
          <w:i/>
          <w:szCs w:val="22"/>
        </w:rPr>
        <w:t>Dainihon shiryō</w:t>
      </w:r>
      <w:r w:rsidRPr="00FD3AD3">
        <w:rPr>
          <w:szCs w:val="22"/>
        </w:rPr>
        <w:t xml:space="preserve">, a voluminous chronological compendium of historical sources. </w:t>
      </w:r>
      <w:r>
        <w:rPr>
          <w:szCs w:val="22"/>
        </w:rPr>
        <w:t>T</w:t>
      </w:r>
      <w:r w:rsidRPr="00FD3AD3">
        <w:rPr>
          <w:szCs w:val="22"/>
        </w:rPr>
        <w:t>he pro</w:t>
      </w:r>
      <w:r>
        <w:rPr>
          <w:szCs w:val="22"/>
        </w:rPr>
        <w:t>cess of compiling this work revealed the</w:t>
      </w:r>
      <w:r w:rsidRPr="00FD3AD3">
        <w:rPr>
          <w:szCs w:val="22"/>
        </w:rPr>
        <w:t xml:space="preserve"> inaccuracies of </w:t>
      </w:r>
      <w:r w:rsidRPr="00FD3AD3">
        <w:rPr>
          <w:i/>
          <w:szCs w:val="22"/>
        </w:rPr>
        <w:t>Taiheiki</w:t>
      </w:r>
      <w:r>
        <w:rPr>
          <w:szCs w:val="22"/>
        </w:rPr>
        <w:t>, which</w:t>
      </w:r>
      <w:r w:rsidRPr="00FD3AD3">
        <w:rPr>
          <w:szCs w:val="22"/>
        </w:rPr>
        <w:t xml:space="preserve"> Suga Masatomo argued </w:t>
      </w:r>
      <w:r>
        <w:rPr>
          <w:szCs w:val="22"/>
        </w:rPr>
        <w:t>was filled</w:t>
      </w:r>
      <w:r w:rsidRPr="00FD3AD3">
        <w:rPr>
          <w:szCs w:val="22"/>
        </w:rPr>
        <w:t xml:space="preserve"> with </w:t>
      </w:r>
      <w:r>
        <w:rPr>
          <w:szCs w:val="22"/>
        </w:rPr>
        <w:t xml:space="preserve">errors </w:t>
      </w:r>
      <w:r w:rsidRPr="00FD3AD3">
        <w:rPr>
          <w:szCs w:val="22"/>
        </w:rPr>
        <w:t>and omissions</w:t>
      </w:r>
      <w:r>
        <w:rPr>
          <w:szCs w:val="22"/>
        </w:rPr>
        <w:t>. In so</w:t>
      </w:r>
      <w:r w:rsidRPr="00FD3AD3">
        <w:rPr>
          <w:szCs w:val="22"/>
        </w:rPr>
        <w:t xml:space="preserve"> doing he relied on fourteenth century documents and </w:t>
      </w:r>
      <w:r>
        <w:rPr>
          <w:szCs w:val="22"/>
        </w:rPr>
        <w:t xml:space="preserve">on </w:t>
      </w:r>
      <w:r w:rsidRPr="00FD3AD3">
        <w:rPr>
          <w:i/>
          <w:szCs w:val="22"/>
        </w:rPr>
        <w:t>Baishōron</w:t>
      </w:r>
      <w:r>
        <w:rPr>
          <w:szCs w:val="22"/>
        </w:rPr>
        <w:t>, which he introduced</w:t>
      </w:r>
      <w:r w:rsidRPr="00FD3AD3">
        <w:rPr>
          <w:szCs w:val="22"/>
        </w:rPr>
        <w:t xml:space="preserve"> to a scholarly audience in 1890.</w:t>
      </w:r>
      <w:r w:rsidRPr="00FD3AD3">
        <w:rPr>
          <w:rStyle w:val="FootnoteReference"/>
          <w:szCs w:val="22"/>
        </w:rPr>
        <w:footnoteReference w:id="7"/>
      </w:r>
      <w:r w:rsidRPr="00FD3AD3">
        <w:rPr>
          <w:szCs w:val="22"/>
        </w:rPr>
        <w:t xml:space="preserve"> </w:t>
      </w:r>
      <w:r>
        <w:rPr>
          <w:szCs w:val="22"/>
        </w:rPr>
        <w:t>Hi</w:t>
      </w:r>
      <w:r w:rsidRPr="00FD3AD3">
        <w:rPr>
          <w:szCs w:val="22"/>
        </w:rPr>
        <w:t xml:space="preserve">s work, expanded in 1894, remained for decades the definitive study of </w:t>
      </w:r>
      <w:r w:rsidRPr="00FD3AD3">
        <w:rPr>
          <w:i/>
          <w:szCs w:val="22"/>
        </w:rPr>
        <w:t>Baishōron</w:t>
      </w:r>
      <w:r w:rsidRPr="00FD3AD3">
        <w:rPr>
          <w:szCs w:val="22"/>
        </w:rPr>
        <w:t>.</w:t>
      </w:r>
      <w:r w:rsidRPr="00FD3AD3">
        <w:rPr>
          <w:rStyle w:val="FootnoteReference"/>
          <w:szCs w:val="22"/>
        </w:rPr>
        <w:footnoteReference w:id="8"/>
      </w:r>
      <w:r w:rsidRPr="00FD3AD3">
        <w:rPr>
          <w:szCs w:val="22"/>
        </w:rPr>
        <w:t xml:space="preserve">  </w:t>
      </w:r>
    </w:p>
    <w:p w14:paraId="7D215FF2" w14:textId="77777777" w:rsidR="00D77CDE" w:rsidRPr="003C33F9" w:rsidRDefault="00D77CDE" w:rsidP="00D77CDE">
      <w:pPr>
        <w:keepLines w:val="0"/>
        <w:spacing w:line="276" w:lineRule="auto"/>
        <w:ind w:firstLine="284"/>
        <w:jc w:val="both"/>
        <w:rPr>
          <w:color w:val="3366FF"/>
          <w:szCs w:val="22"/>
        </w:rPr>
      </w:pPr>
      <w:r>
        <w:rPr>
          <w:szCs w:val="22"/>
        </w:rPr>
        <w:t xml:space="preserve">Ultimately, </w:t>
      </w:r>
      <w:r w:rsidRPr="00FD3AD3">
        <w:rPr>
          <w:szCs w:val="22"/>
        </w:rPr>
        <w:t xml:space="preserve">the </w:t>
      </w:r>
      <w:r w:rsidRPr="00FD3AD3">
        <w:rPr>
          <w:i/>
          <w:szCs w:val="22"/>
        </w:rPr>
        <w:t xml:space="preserve">Dainihon shiryō </w:t>
      </w:r>
      <w:r>
        <w:rPr>
          <w:szCs w:val="22"/>
        </w:rPr>
        <w:t xml:space="preserve">compilers </w:t>
      </w:r>
      <w:r w:rsidRPr="00FD3AD3">
        <w:rPr>
          <w:szCs w:val="22"/>
        </w:rPr>
        <w:t xml:space="preserve">decided to </w:t>
      </w:r>
      <w:r>
        <w:rPr>
          <w:szCs w:val="22"/>
        </w:rPr>
        <w:t xml:space="preserve">begin their compilation </w:t>
      </w:r>
      <w:r w:rsidRPr="001B330B">
        <w:rPr>
          <w:szCs w:val="22"/>
        </w:rPr>
        <w:t xml:space="preserve">of post-Genkō </w:t>
      </w:r>
      <w:r w:rsidRPr="001B330B">
        <w:rPr>
          <w:sz w:val="18"/>
          <w:szCs w:val="18"/>
        </w:rPr>
        <w:t>[1331-333]</w:t>
      </w:r>
      <w:r w:rsidRPr="001B330B">
        <w:rPr>
          <w:szCs w:val="22"/>
        </w:rPr>
        <w:t xml:space="preserve"> sources with</w:t>
      </w:r>
      <w:r>
        <w:rPr>
          <w:szCs w:val="22"/>
        </w:rPr>
        <w:t xml:space="preserve"> a quotation from</w:t>
      </w:r>
      <w:r w:rsidRPr="00FD3AD3">
        <w:rPr>
          <w:szCs w:val="22"/>
        </w:rPr>
        <w:t xml:space="preserve"> </w:t>
      </w:r>
      <w:r w:rsidRPr="00FD3AD3">
        <w:rPr>
          <w:i/>
          <w:szCs w:val="22"/>
        </w:rPr>
        <w:t>Taiheiki</w:t>
      </w:r>
      <w:r w:rsidRPr="00FD3AD3">
        <w:rPr>
          <w:szCs w:val="22"/>
        </w:rPr>
        <w:t>.</w:t>
      </w:r>
      <w:r w:rsidRPr="00FD3AD3">
        <w:rPr>
          <w:rStyle w:val="FootnoteReference"/>
          <w:szCs w:val="22"/>
        </w:rPr>
        <w:footnoteReference w:id="9"/>
      </w:r>
      <w:r w:rsidRPr="00FD3AD3">
        <w:rPr>
          <w:szCs w:val="22"/>
        </w:rPr>
        <w:t xml:space="preserve"> </w:t>
      </w:r>
      <w:r w:rsidRPr="007E4B09">
        <w:rPr>
          <w:szCs w:val="22"/>
        </w:rPr>
        <w:t xml:space="preserve">The much shorter </w:t>
      </w:r>
      <w:r w:rsidRPr="007E4B09">
        <w:rPr>
          <w:i/>
          <w:szCs w:val="22"/>
        </w:rPr>
        <w:t xml:space="preserve">Baishōron </w:t>
      </w:r>
      <w:r w:rsidRPr="007E4B09">
        <w:rPr>
          <w:szCs w:val="22"/>
        </w:rPr>
        <w:t>first appears on p. 61 of this volume,</w:t>
      </w:r>
      <w:r w:rsidRPr="007E4B09">
        <w:rPr>
          <w:rStyle w:val="FootnoteReference"/>
          <w:szCs w:val="22"/>
        </w:rPr>
        <w:footnoteReference w:id="10"/>
      </w:r>
      <w:r w:rsidRPr="007E4B09">
        <w:rPr>
          <w:szCs w:val="22"/>
        </w:rPr>
        <w:t xml:space="preserve"> and </w:t>
      </w:r>
      <w:r>
        <w:rPr>
          <w:szCs w:val="22"/>
        </w:rPr>
        <w:t>is used</w:t>
      </w:r>
      <w:r w:rsidRPr="007E4B09">
        <w:rPr>
          <w:szCs w:val="22"/>
        </w:rPr>
        <w:t xml:space="preserve"> most prominently as a major source for the battles of Tadarahama and Minatogawa, the decisive encounters of 1336.</w:t>
      </w:r>
      <w:r w:rsidRPr="007E4B09">
        <w:rPr>
          <w:rStyle w:val="FootnoteReference"/>
          <w:szCs w:val="22"/>
        </w:rPr>
        <w:footnoteReference w:id="11"/>
      </w:r>
      <w:r w:rsidRPr="003C33F9">
        <w:rPr>
          <w:color w:val="3366FF"/>
          <w:szCs w:val="22"/>
        </w:rPr>
        <w:t xml:space="preserve">  </w:t>
      </w:r>
    </w:p>
    <w:p w14:paraId="046AD19C" w14:textId="77777777" w:rsidR="00D77CDE" w:rsidRPr="00FD3AD3" w:rsidRDefault="00D77CDE" w:rsidP="00D77CDE">
      <w:pPr>
        <w:spacing w:line="276" w:lineRule="auto"/>
        <w:rPr>
          <w:szCs w:val="22"/>
        </w:rPr>
      </w:pPr>
    </w:p>
    <w:p w14:paraId="10F8098B" w14:textId="77777777" w:rsidR="00D77CDE" w:rsidRPr="00FD3AD3" w:rsidRDefault="00D77CDE" w:rsidP="00D77CDE">
      <w:pPr>
        <w:spacing w:line="276" w:lineRule="auto"/>
        <w:jc w:val="center"/>
        <w:rPr>
          <w:i/>
          <w:szCs w:val="22"/>
        </w:rPr>
      </w:pPr>
      <w:r w:rsidRPr="00FD3AD3">
        <w:rPr>
          <w:i/>
          <w:szCs w:val="22"/>
        </w:rPr>
        <w:t>Distinctive Features of the Text</w:t>
      </w:r>
    </w:p>
    <w:p w14:paraId="1692D1FF" w14:textId="77777777" w:rsidR="00D77CDE" w:rsidRPr="00FD3AD3" w:rsidRDefault="00D77CDE" w:rsidP="00D77CDE">
      <w:pPr>
        <w:spacing w:line="276" w:lineRule="auto"/>
        <w:rPr>
          <w:i/>
          <w:szCs w:val="22"/>
        </w:rPr>
      </w:pPr>
    </w:p>
    <w:p w14:paraId="198ED577" w14:textId="77777777" w:rsidR="00D77CDE" w:rsidRPr="00FD3AD3" w:rsidRDefault="00D77CDE" w:rsidP="00D77CDE">
      <w:pPr>
        <w:spacing w:line="276" w:lineRule="auto"/>
        <w:ind w:right="40"/>
        <w:jc w:val="both"/>
        <w:rPr>
          <w:szCs w:val="22"/>
        </w:rPr>
      </w:pPr>
      <w:r>
        <w:rPr>
          <w:szCs w:val="22"/>
        </w:rPr>
        <w:t>The</w:t>
      </w:r>
      <w:r w:rsidRPr="00FD3AD3">
        <w:rPr>
          <w:szCs w:val="22"/>
        </w:rPr>
        <w:t xml:space="preserve"> </w:t>
      </w:r>
      <w:r w:rsidRPr="00FD3AD3">
        <w:rPr>
          <w:i/>
          <w:szCs w:val="22"/>
        </w:rPr>
        <w:t xml:space="preserve">Baishōron </w:t>
      </w:r>
      <w:r w:rsidRPr="00FD3AD3">
        <w:rPr>
          <w:szCs w:val="22"/>
        </w:rPr>
        <w:t xml:space="preserve">author has remained anonymous, but analysis of the text provides ample clues </w:t>
      </w:r>
      <w:r>
        <w:rPr>
          <w:szCs w:val="22"/>
        </w:rPr>
        <w:t>to</w:t>
      </w:r>
      <w:r w:rsidRPr="00FD3AD3">
        <w:rPr>
          <w:szCs w:val="22"/>
        </w:rPr>
        <w:t xml:space="preserve"> his identity. First, and most remarkably, the </w:t>
      </w:r>
      <w:r w:rsidRPr="00FD3AD3">
        <w:rPr>
          <w:i/>
          <w:szCs w:val="22"/>
        </w:rPr>
        <w:t>Baishōron</w:t>
      </w:r>
      <w:r w:rsidRPr="00FD3AD3">
        <w:rPr>
          <w:szCs w:val="22"/>
        </w:rPr>
        <w:t xml:space="preserve"> account of the battles of Tadarahama and Minatogawa </w:t>
      </w:r>
      <w:r>
        <w:rPr>
          <w:szCs w:val="22"/>
        </w:rPr>
        <w:t>seems to come from an eye</w:t>
      </w:r>
      <w:r w:rsidRPr="00FD3AD3">
        <w:rPr>
          <w:szCs w:val="22"/>
        </w:rPr>
        <w:t xml:space="preserve"> </w:t>
      </w:r>
      <w:r>
        <w:rPr>
          <w:szCs w:val="22"/>
        </w:rPr>
        <w:t>witness</w:t>
      </w:r>
      <w:r w:rsidRPr="00FD3AD3">
        <w:rPr>
          <w:szCs w:val="22"/>
        </w:rPr>
        <w:t>.</w:t>
      </w:r>
      <w:r w:rsidRPr="00FD3AD3">
        <w:rPr>
          <w:rStyle w:val="FootnoteReference"/>
          <w:szCs w:val="22"/>
        </w:rPr>
        <w:footnoteReference w:id="12"/>
      </w:r>
      <w:r w:rsidRPr="00FD3AD3">
        <w:rPr>
          <w:szCs w:val="22"/>
        </w:rPr>
        <w:t xml:space="preserve"> Unlike the formulaic description of battles in most literary accounts of warfare, the </w:t>
      </w:r>
      <w:r w:rsidRPr="00FD3AD3">
        <w:rPr>
          <w:i/>
          <w:szCs w:val="22"/>
        </w:rPr>
        <w:t xml:space="preserve">Baishōron </w:t>
      </w:r>
      <w:r w:rsidRPr="00FD3AD3">
        <w:rPr>
          <w:szCs w:val="22"/>
        </w:rPr>
        <w:t>accounts of Tadarahama and Minatogawa describe the coloring of armor or horses in a way consistent with how an actual observer would have noted them.</w:t>
      </w:r>
      <w:r w:rsidRPr="00FD3AD3">
        <w:rPr>
          <w:rStyle w:val="FootnoteReference"/>
          <w:szCs w:val="22"/>
        </w:rPr>
        <w:footnoteReference w:id="13"/>
      </w:r>
      <w:r w:rsidRPr="00FD3AD3">
        <w:rPr>
          <w:szCs w:val="22"/>
        </w:rPr>
        <w:t xml:space="preserve">  </w:t>
      </w:r>
      <w:r>
        <w:rPr>
          <w:szCs w:val="22"/>
        </w:rPr>
        <w:t>Details</w:t>
      </w:r>
      <w:r w:rsidRPr="00FD3AD3">
        <w:rPr>
          <w:szCs w:val="22"/>
        </w:rPr>
        <w:t xml:space="preserve"> like the sunlight on the eve of battle, </w:t>
      </w:r>
      <w:r>
        <w:rPr>
          <w:szCs w:val="22"/>
        </w:rPr>
        <w:t xml:space="preserve">a </w:t>
      </w:r>
      <w:r w:rsidRPr="00FD3AD3">
        <w:rPr>
          <w:szCs w:val="22"/>
        </w:rPr>
        <w:t>sudden dust storm impacting the battle, or for that matter, the fact that the billowing cape (</w:t>
      </w:r>
      <w:r w:rsidRPr="00FD3AD3">
        <w:rPr>
          <w:i/>
          <w:szCs w:val="22"/>
        </w:rPr>
        <w:t>horo</w:t>
      </w:r>
      <w:r w:rsidRPr="00FD3AD3">
        <w:rPr>
          <w:szCs w:val="22"/>
        </w:rPr>
        <w:t xml:space="preserve">) of one warrior prevented his armor from being recognized </w:t>
      </w:r>
      <w:r>
        <w:rPr>
          <w:szCs w:val="22"/>
        </w:rPr>
        <w:t>suggests a careful narrator</w:t>
      </w:r>
      <w:r w:rsidRPr="00FD3AD3">
        <w:rPr>
          <w:szCs w:val="22"/>
        </w:rPr>
        <w:t xml:space="preserve"> who recounted what he actually saw. This is </w:t>
      </w:r>
      <w:r>
        <w:rPr>
          <w:szCs w:val="22"/>
        </w:rPr>
        <w:t xml:space="preserve">a rare </w:t>
      </w:r>
      <w:r w:rsidRPr="00FD3AD3">
        <w:rPr>
          <w:szCs w:val="22"/>
        </w:rPr>
        <w:t xml:space="preserve">account </w:t>
      </w:r>
      <w:r>
        <w:rPr>
          <w:szCs w:val="22"/>
        </w:rPr>
        <w:t xml:space="preserve">of </w:t>
      </w:r>
      <w:r w:rsidRPr="00FD3AD3">
        <w:rPr>
          <w:szCs w:val="22"/>
        </w:rPr>
        <w:t>medieval Japanese warfare</w:t>
      </w:r>
      <w:r>
        <w:rPr>
          <w:szCs w:val="22"/>
        </w:rPr>
        <w:t xml:space="preserve"> </w:t>
      </w:r>
      <w:r w:rsidRPr="00FD3AD3">
        <w:rPr>
          <w:szCs w:val="22"/>
        </w:rPr>
        <w:t>by a participant.</w:t>
      </w:r>
      <w:r w:rsidRPr="00FD3AD3">
        <w:rPr>
          <w:rStyle w:val="FootnoteReference"/>
          <w:szCs w:val="22"/>
        </w:rPr>
        <w:footnoteReference w:id="14"/>
      </w:r>
      <w:r w:rsidRPr="00FD3AD3">
        <w:rPr>
          <w:szCs w:val="22"/>
        </w:rPr>
        <w:t xml:space="preserve">  </w:t>
      </w:r>
    </w:p>
    <w:p w14:paraId="17A0080E" w14:textId="77777777" w:rsidR="00D77CDE" w:rsidRPr="00FD3AD3" w:rsidRDefault="00D77CDE" w:rsidP="00D77CDE">
      <w:pPr>
        <w:keepLines w:val="0"/>
        <w:spacing w:line="276" w:lineRule="auto"/>
        <w:ind w:right="40" w:firstLine="284"/>
        <w:jc w:val="both"/>
        <w:rPr>
          <w:szCs w:val="22"/>
        </w:rPr>
      </w:pPr>
      <w:r w:rsidRPr="00FD3AD3">
        <w:rPr>
          <w:szCs w:val="22"/>
        </w:rPr>
        <w:t>The next notable element of t</w:t>
      </w:r>
      <w:r>
        <w:rPr>
          <w:szCs w:val="22"/>
        </w:rPr>
        <w:t>he text is its accuracy with respect to</w:t>
      </w:r>
      <w:r w:rsidRPr="00FD3AD3">
        <w:rPr>
          <w:szCs w:val="22"/>
        </w:rPr>
        <w:t xml:space="preserve"> pla</w:t>
      </w:r>
      <w:r>
        <w:rPr>
          <w:szCs w:val="22"/>
        </w:rPr>
        <w:t>ce and chronology. In comparison with</w:t>
      </w:r>
      <w:r w:rsidRPr="00FD3AD3">
        <w:rPr>
          <w:szCs w:val="22"/>
        </w:rPr>
        <w:t xml:space="preserve"> </w:t>
      </w:r>
      <w:r w:rsidRPr="00FD3AD3">
        <w:rPr>
          <w:i/>
          <w:szCs w:val="22"/>
        </w:rPr>
        <w:t>Taiheiki</w:t>
      </w:r>
      <w:r w:rsidRPr="00FD3AD3">
        <w:rPr>
          <w:szCs w:val="22"/>
        </w:rPr>
        <w:t xml:space="preserve">, </w:t>
      </w:r>
      <w:r w:rsidRPr="00FD3AD3">
        <w:rPr>
          <w:i/>
          <w:szCs w:val="22"/>
        </w:rPr>
        <w:t>Baishōron</w:t>
      </w:r>
      <w:r>
        <w:rPr>
          <w:szCs w:val="22"/>
        </w:rPr>
        <w:t xml:space="preserve"> provides</w:t>
      </w:r>
      <w:r w:rsidRPr="00FD3AD3">
        <w:rPr>
          <w:szCs w:val="22"/>
        </w:rPr>
        <w:t xml:space="preserve"> re</w:t>
      </w:r>
      <w:r>
        <w:rPr>
          <w:szCs w:val="22"/>
        </w:rPr>
        <w:t>markably precise</w:t>
      </w:r>
      <w:r w:rsidRPr="00FD3AD3">
        <w:rPr>
          <w:szCs w:val="22"/>
        </w:rPr>
        <w:t xml:space="preserve"> dates for ma</w:t>
      </w:r>
      <w:r>
        <w:rPr>
          <w:szCs w:val="22"/>
        </w:rPr>
        <w:t>jor events, as well as a chronology consistent with</w:t>
      </w:r>
      <w:r w:rsidRPr="00FD3AD3">
        <w:rPr>
          <w:szCs w:val="22"/>
        </w:rPr>
        <w:t xml:space="preserve"> </w:t>
      </w:r>
      <w:r>
        <w:rPr>
          <w:szCs w:val="22"/>
        </w:rPr>
        <w:t xml:space="preserve">actual </w:t>
      </w:r>
      <w:r w:rsidRPr="00FD3AD3">
        <w:rPr>
          <w:szCs w:val="22"/>
        </w:rPr>
        <w:t>geographic</w:t>
      </w:r>
      <w:r>
        <w:rPr>
          <w:szCs w:val="22"/>
        </w:rPr>
        <w:t>al</w:t>
      </w:r>
      <w:r w:rsidRPr="00FD3AD3">
        <w:rPr>
          <w:szCs w:val="22"/>
        </w:rPr>
        <w:t xml:space="preserve"> movement</w:t>
      </w:r>
      <w:r>
        <w:rPr>
          <w:szCs w:val="22"/>
        </w:rPr>
        <w:t xml:space="preserve">. For example, </w:t>
      </w:r>
      <w:r w:rsidRPr="00FD3AD3">
        <w:rPr>
          <w:i/>
          <w:szCs w:val="22"/>
        </w:rPr>
        <w:t>Baishōron</w:t>
      </w:r>
      <w:r>
        <w:rPr>
          <w:szCs w:val="22"/>
        </w:rPr>
        <w:t xml:space="preserve"> </w:t>
      </w:r>
      <w:r w:rsidRPr="00FD3AD3">
        <w:rPr>
          <w:szCs w:val="22"/>
        </w:rPr>
        <w:t xml:space="preserve">correctly </w:t>
      </w:r>
      <w:r>
        <w:rPr>
          <w:szCs w:val="22"/>
        </w:rPr>
        <w:t>shows</w:t>
      </w:r>
      <w:r w:rsidRPr="00FD3AD3">
        <w:rPr>
          <w:szCs w:val="22"/>
        </w:rPr>
        <w:t xml:space="preserve"> that </w:t>
      </w:r>
      <w:r>
        <w:rPr>
          <w:szCs w:val="22"/>
        </w:rPr>
        <w:t xml:space="preserve">Takauji </w:t>
      </w:r>
      <w:r w:rsidRPr="00FD3AD3">
        <w:rPr>
          <w:szCs w:val="22"/>
        </w:rPr>
        <w:t xml:space="preserve">first rebelled </w:t>
      </w:r>
      <w:r w:rsidRPr="00F13FFF">
        <w:rPr>
          <w:szCs w:val="22"/>
        </w:rPr>
        <w:t>on Genkō 3.4.27 (1333) at Shi</w:t>
      </w:r>
      <w:r w:rsidRPr="00FD3AD3">
        <w:rPr>
          <w:szCs w:val="22"/>
        </w:rPr>
        <w:t>nomura.</w:t>
      </w:r>
      <w:r w:rsidRPr="00FD3AD3">
        <w:rPr>
          <w:rStyle w:val="FootnoteReference"/>
          <w:szCs w:val="22"/>
        </w:rPr>
        <w:footnoteReference w:id="15"/>
      </w:r>
      <w:r>
        <w:rPr>
          <w:szCs w:val="22"/>
        </w:rPr>
        <w:t xml:space="preserve">  </w:t>
      </w:r>
      <w:r w:rsidRPr="00FD3AD3">
        <w:rPr>
          <w:i/>
          <w:szCs w:val="22"/>
        </w:rPr>
        <w:t xml:space="preserve">Taiheiki, </w:t>
      </w:r>
      <w:r w:rsidRPr="00FD3AD3">
        <w:rPr>
          <w:szCs w:val="22"/>
        </w:rPr>
        <w:t xml:space="preserve">by contrast, contains significant errors, most notably the notion that </w:t>
      </w:r>
      <w:r>
        <w:rPr>
          <w:szCs w:val="22"/>
        </w:rPr>
        <w:t>he</w:t>
      </w:r>
      <w:r w:rsidRPr="00FD3AD3">
        <w:rPr>
          <w:szCs w:val="22"/>
        </w:rPr>
        <w:t xml:space="preserve"> switched sides on </w:t>
      </w:r>
      <w:r w:rsidRPr="00F13FFF">
        <w:rPr>
          <w:szCs w:val="22"/>
        </w:rPr>
        <w:t>Genkō 3.5.7</w:t>
      </w:r>
      <w:r w:rsidRPr="00FD3AD3">
        <w:rPr>
          <w:szCs w:val="22"/>
        </w:rPr>
        <w:t>.</w:t>
      </w:r>
      <w:r w:rsidRPr="00FD3AD3">
        <w:rPr>
          <w:rStyle w:val="FootnoteReference"/>
          <w:szCs w:val="22"/>
        </w:rPr>
        <w:footnoteReference w:id="16"/>
      </w:r>
      <w:r w:rsidRPr="00FD3AD3">
        <w:rPr>
          <w:szCs w:val="22"/>
        </w:rPr>
        <w:t xml:space="preserve"> Likewise, the </w:t>
      </w:r>
      <w:r w:rsidRPr="00FD3AD3">
        <w:rPr>
          <w:i/>
          <w:szCs w:val="22"/>
        </w:rPr>
        <w:t xml:space="preserve">Baishōron </w:t>
      </w:r>
      <w:r>
        <w:rPr>
          <w:szCs w:val="22"/>
        </w:rPr>
        <w:t>narrative matches other</w:t>
      </w:r>
      <w:r w:rsidRPr="00FD3AD3">
        <w:rPr>
          <w:szCs w:val="22"/>
        </w:rPr>
        <w:t xml:space="preserve"> documents, and is </w:t>
      </w:r>
      <w:r w:rsidRPr="00FD3AD3">
        <w:rPr>
          <w:szCs w:val="22"/>
        </w:rPr>
        <w:lastRenderedPageBreak/>
        <w:t>geographically a</w:t>
      </w:r>
      <w:r>
        <w:rPr>
          <w:szCs w:val="22"/>
        </w:rPr>
        <w:t xml:space="preserve">nd temporally possible. An example is </w:t>
      </w:r>
      <w:r w:rsidRPr="00FD3AD3">
        <w:rPr>
          <w:szCs w:val="22"/>
        </w:rPr>
        <w:t>Takauji’s advance from Kamakura late in 1335.</w:t>
      </w:r>
      <w:r w:rsidRPr="00FD3AD3">
        <w:rPr>
          <w:rStyle w:val="FootnoteReference"/>
          <w:szCs w:val="22"/>
        </w:rPr>
        <w:footnoteReference w:id="17"/>
      </w:r>
      <w:r w:rsidRPr="00FD3AD3">
        <w:rPr>
          <w:szCs w:val="22"/>
        </w:rPr>
        <w:t xml:space="preserve"> Its chronology for the battle of Minatogawa</w:t>
      </w:r>
      <w:r>
        <w:rPr>
          <w:szCs w:val="22"/>
        </w:rPr>
        <w:t>,</w:t>
      </w:r>
      <w:r w:rsidRPr="00FD3AD3">
        <w:rPr>
          <w:szCs w:val="22"/>
        </w:rPr>
        <w:t xml:space="preserve"> too</w:t>
      </w:r>
      <w:r>
        <w:rPr>
          <w:szCs w:val="22"/>
        </w:rPr>
        <w:t>,</w:t>
      </w:r>
      <w:r w:rsidRPr="00FD3AD3">
        <w:rPr>
          <w:szCs w:val="22"/>
        </w:rPr>
        <w:t xml:space="preserve"> can be verified.</w:t>
      </w:r>
      <w:r w:rsidRPr="00FD3AD3">
        <w:rPr>
          <w:rStyle w:val="FootnoteReference"/>
          <w:szCs w:val="22"/>
        </w:rPr>
        <w:t xml:space="preserve"> </w:t>
      </w:r>
      <w:r w:rsidRPr="00FD3AD3">
        <w:rPr>
          <w:rStyle w:val="FootnoteReference"/>
          <w:szCs w:val="22"/>
        </w:rPr>
        <w:footnoteReference w:id="18"/>
      </w:r>
      <w:r w:rsidRPr="00FD3AD3">
        <w:rPr>
          <w:szCs w:val="22"/>
        </w:rPr>
        <w:t xml:space="preserve"> Finally, </w:t>
      </w:r>
      <w:r w:rsidRPr="00FD3AD3">
        <w:rPr>
          <w:i/>
          <w:szCs w:val="22"/>
        </w:rPr>
        <w:t xml:space="preserve">Baishōron </w:t>
      </w:r>
      <w:r w:rsidRPr="00FD3AD3">
        <w:rPr>
          <w:szCs w:val="22"/>
        </w:rPr>
        <w:t xml:space="preserve">correctly </w:t>
      </w:r>
      <w:r>
        <w:rPr>
          <w:szCs w:val="22"/>
        </w:rPr>
        <w:t>shows</w:t>
      </w:r>
      <w:r w:rsidRPr="00FD3AD3">
        <w:rPr>
          <w:szCs w:val="22"/>
        </w:rPr>
        <w:t xml:space="preserve"> that Kenshun </w:t>
      </w:r>
      <w:r w:rsidRPr="00280B85">
        <w:rPr>
          <w:szCs w:val="22"/>
        </w:rPr>
        <w:t>brought an edict from the Jimyōin emperor (Kōgon) legitimating Takauji’s rebellion midway through the second month of 1336. This is confirmed by a letter written by Takauji on Kenmu 3.2.15</w:t>
      </w:r>
      <w:r w:rsidRPr="00FD3AD3">
        <w:rPr>
          <w:szCs w:val="22"/>
        </w:rPr>
        <w:t xml:space="preserve"> </w:t>
      </w:r>
      <w:r>
        <w:rPr>
          <w:szCs w:val="22"/>
        </w:rPr>
        <w:t xml:space="preserve">(1336) </w:t>
      </w:r>
      <w:r w:rsidRPr="00FD3AD3">
        <w:rPr>
          <w:szCs w:val="22"/>
        </w:rPr>
        <w:t xml:space="preserve">and a mobilization </w:t>
      </w:r>
      <w:r w:rsidRPr="00F13FFF">
        <w:rPr>
          <w:szCs w:val="22"/>
        </w:rPr>
        <w:t>order</w:t>
      </w:r>
      <w:r>
        <w:rPr>
          <w:color w:val="FF0000"/>
          <w:szCs w:val="22"/>
        </w:rPr>
        <w:t xml:space="preserve"> </w:t>
      </w:r>
      <w:r w:rsidRPr="00FD3AD3">
        <w:rPr>
          <w:szCs w:val="22"/>
        </w:rPr>
        <w:t>dating from two days later.</w:t>
      </w:r>
      <w:r w:rsidRPr="00FD3AD3">
        <w:rPr>
          <w:rStyle w:val="FootnoteReference"/>
          <w:szCs w:val="22"/>
        </w:rPr>
        <w:footnoteReference w:id="19"/>
      </w:r>
      <w:r w:rsidRPr="00FD3AD3">
        <w:rPr>
          <w:szCs w:val="22"/>
        </w:rPr>
        <w:t xml:space="preserve"> </w:t>
      </w:r>
      <w:r w:rsidRPr="00FD3AD3">
        <w:rPr>
          <w:i/>
          <w:szCs w:val="22"/>
        </w:rPr>
        <w:t>Taiheiki</w:t>
      </w:r>
      <w:r w:rsidRPr="00FD3AD3">
        <w:rPr>
          <w:szCs w:val="22"/>
        </w:rPr>
        <w:t xml:space="preserve"> claims that this edict was not issued until nearly ten weeks later, </w:t>
      </w:r>
      <w:r>
        <w:rPr>
          <w:szCs w:val="22"/>
        </w:rPr>
        <w:t>on Kenmu 3.5.1</w:t>
      </w:r>
      <w:r w:rsidRPr="00FD3AD3">
        <w:rPr>
          <w:szCs w:val="22"/>
        </w:rPr>
        <w:t>.</w:t>
      </w:r>
      <w:r w:rsidRPr="00FD3AD3">
        <w:rPr>
          <w:rStyle w:val="FootnoteReference"/>
          <w:szCs w:val="22"/>
        </w:rPr>
        <w:footnoteReference w:id="20"/>
      </w:r>
      <w:r w:rsidRPr="00FD3AD3">
        <w:rPr>
          <w:szCs w:val="22"/>
        </w:rPr>
        <w:t xml:space="preserve">  </w:t>
      </w:r>
    </w:p>
    <w:p w14:paraId="7161C20C" w14:textId="77777777" w:rsidR="00D77CDE" w:rsidRPr="00FD3AD3" w:rsidRDefault="00D77CDE" w:rsidP="00D77CDE">
      <w:pPr>
        <w:keepLines w:val="0"/>
        <w:spacing w:line="276" w:lineRule="auto"/>
        <w:ind w:right="40" w:firstLine="284"/>
        <w:jc w:val="both"/>
        <w:rPr>
          <w:szCs w:val="22"/>
        </w:rPr>
      </w:pPr>
      <w:r w:rsidRPr="00FD3AD3">
        <w:rPr>
          <w:i/>
          <w:szCs w:val="22"/>
        </w:rPr>
        <w:t>Taiheiki</w:t>
      </w:r>
      <w:r>
        <w:rPr>
          <w:szCs w:val="22"/>
        </w:rPr>
        <w:t xml:space="preserve"> </w:t>
      </w:r>
      <w:r w:rsidRPr="00FD3AD3">
        <w:rPr>
          <w:szCs w:val="22"/>
        </w:rPr>
        <w:t xml:space="preserve">exaggerates the size of armies and provides no consistency </w:t>
      </w:r>
      <w:r>
        <w:rPr>
          <w:szCs w:val="22"/>
        </w:rPr>
        <w:t>at all with respect to numbers</w:t>
      </w:r>
      <w:r w:rsidRPr="00FD3AD3">
        <w:rPr>
          <w:szCs w:val="22"/>
        </w:rPr>
        <w:t>.</w:t>
      </w:r>
      <w:r w:rsidRPr="00FD3AD3">
        <w:rPr>
          <w:rStyle w:val="FootnoteReference"/>
          <w:szCs w:val="22"/>
        </w:rPr>
        <w:footnoteReference w:id="21"/>
      </w:r>
      <w:r w:rsidRPr="00FD3AD3">
        <w:rPr>
          <w:szCs w:val="22"/>
        </w:rPr>
        <w:t xml:space="preserve"> </w:t>
      </w:r>
      <w:r w:rsidRPr="00FD3AD3">
        <w:rPr>
          <w:i/>
          <w:szCs w:val="22"/>
        </w:rPr>
        <w:t>Baishōron</w:t>
      </w:r>
      <w:r w:rsidRPr="00FD3AD3">
        <w:rPr>
          <w:szCs w:val="22"/>
        </w:rPr>
        <w:t xml:space="preserve">, </w:t>
      </w:r>
      <w:r>
        <w:rPr>
          <w:szCs w:val="22"/>
        </w:rPr>
        <w:t>too, mentions i</w:t>
      </w:r>
      <w:r w:rsidRPr="00FD3AD3">
        <w:rPr>
          <w:szCs w:val="22"/>
        </w:rPr>
        <w:t xml:space="preserve">mpossibly </w:t>
      </w:r>
      <w:r>
        <w:rPr>
          <w:szCs w:val="22"/>
        </w:rPr>
        <w:t>large numbers, but these</w:t>
      </w:r>
      <w:r w:rsidRPr="00FD3AD3">
        <w:rPr>
          <w:szCs w:val="22"/>
        </w:rPr>
        <w:t xml:space="preserve"> are invariably reported as hearsay</w:t>
      </w:r>
      <w:r>
        <w:rPr>
          <w:szCs w:val="22"/>
        </w:rPr>
        <w:t>, not as fact</w:t>
      </w:r>
      <w:r w:rsidRPr="00FD3AD3">
        <w:rPr>
          <w:szCs w:val="22"/>
        </w:rPr>
        <w:t>.</w:t>
      </w:r>
      <w:r w:rsidRPr="00FD3AD3">
        <w:rPr>
          <w:rStyle w:val="FootnoteReference"/>
          <w:szCs w:val="22"/>
        </w:rPr>
        <w:footnoteReference w:id="22"/>
      </w:r>
      <w:r w:rsidRPr="00FD3AD3">
        <w:rPr>
          <w:szCs w:val="22"/>
        </w:rPr>
        <w:t xml:space="preserve"> </w:t>
      </w:r>
      <w:r>
        <w:rPr>
          <w:szCs w:val="22"/>
        </w:rPr>
        <w:t>It describes actual encounters</w:t>
      </w:r>
      <w:r w:rsidRPr="00FD3AD3">
        <w:rPr>
          <w:szCs w:val="22"/>
        </w:rPr>
        <w:t xml:space="preserve"> in far more limited, plausible fashion. For</w:t>
      </w:r>
      <w:r>
        <w:rPr>
          <w:szCs w:val="22"/>
        </w:rPr>
        <w:t xml:space="preserve"> example,</w:t>
      </w:r>
      <w:r w:rsidRPr="00FD3AD3">
        <w:rPr>
          <w:szCs w:val="22"/>
        </w:rPr>
        <w:t xml:space="preserve"> </w:t>
      </w:r>
      <w:r w:rsidRPr="00FD3AD3">
        <w:rPr>
          <w:i/>
          <w:szCs w:val="22"/>
        </w:rPr>
        <w:t>Baishōron</w:t>
      </w:r>
      <w:r w:rsidRPr="00FD3AD3">
        <w:rPr>
          <w:szCs w:val="22"/>
        </w:rPr>
        <w:t xml:space="preserve"> mentions fifty troops dying in one encounter</w:t>
      </w:r>
      <w:r>
        <w:rPr>
          <w:szCs w:val="22"/>
        </w:rPr>
        <w:t xml:space="preserve"> during </w:t>
      </w:r>
      <w:r w:rsidRPr="00FD3AD3">
        <w:rPr>
          <w:szCs w:val="22"/>
        </w:rPr>
        <w:t xml:space="preserve">the battle of Minatogawa, and </w:t>
      </w:r>
      <w:r>
        <w:rPr>
          <w:szCs w:val="22"/>
        </w:rPr>
        <w:t xml:space="preserve">it </w:t>
      </w:r>
      <w:r w:rsidRPr="00FD3AD3">
        <w:rPr>
          <w:szCs w:val="22"/>
        </w:rPr>
        <w:t>describes the destruction of the Kusunoki army as resulting in 700 deaths. Such numbers are consistent with the number of casualties in an overwhelming defeat.</w:t>
      </w:r>
      <w:r w:rsidRPr="00FD3AD3">
        <w:rPr>
          <w:rStyle w:val="FootnoteReference"/>
          <w:szCs w:val="22"/>
        </w:rPr>
        <w:footnoteReference w:id="23"/>
      </w:r>
      <w:r w:rsidRPr="00FD3AD3">
        <w:rPr>
          <w:szCs w:val="22"/>
        </w:rPr>
        <w:t xml:space="preserve"> </w:t>
      </w:r>
    </w:p>
    <w:p w14:paraId="4E5E32B5" w14:textId="77777777" w:rsidR="00D77CDE" w:rsidRPr="00FD3AD3" w:rsidRDefault="00D77CDE" w:rsidP="00D77CDE">
      <w:pPr>
        <w:keepLines w:val="0"/>
        <w:spacing w:line="276" w:lineRule="auto"/>
        <w:ind w:right="40" w:firstLine="284"/>
        <w:jc w:val="both"/>
        <w:rPr>
          <w:szCs w:val="22"/>
        </w:rPr>
      </w:pPr>
      <w:r>
        <w:rPr>
          <w:szCs w:val="22"/>
        </w:rPr>
        <w:t>The narrative portrays i</w:t>
      </w:r>
      <w:r w:rsidRPr="00FD3AD3">
        <w:rPr>
          <w:szCs w:val="22"/>
        </w:rPr>
        <w:t>ndividuals and shrines ass</w:t>
      </w:r>
      <w:r>
        <w:rPr>
          <w:szCs w:val="22"/>
        </w:rPr>
        <w:t>ociated with Northern Kyushu</w:t>
      </w:r>
      <w:r w:rsidRPr="00FD3AD3">
        <w:rPr>
          <w:szCs w:val="22"/>
        </w:rPr>
        <w:t xml:space="preserve"> viv</w:t>
      </w:r>
      <w:r>
        <w:rPr>
          <w:szCs w:val="22"/>
        </w:rPr>
        <w:t>idly. These</w:t>
      </w:r>
      <w:r w:rsidRPr="00FD3AD3">
        <w:rPr>
          <w:szCs w:val="22"/>
        </w:rPr>
        <w:t xml:space="preserve"> include warriors such as the Shōni, and the Aeba, and also the important regional shrines of Kushida, Kashii, and Munakata. The Kyushu </w:t>
      </w:r>
      <w:r>
        <w:rPr>
          <w:szCs w:val="22"/>
        </w:rPr>
        <w:t>connection helps to determine who wrote the</w:t>
      </w:r>
      <w:r w:rsidRPr="00FD3AD3">
        <w:rPr>
          <w:szCs w:val="22"/>
        </w:rPr>
        <w:t xml:space="preserve"> work.  </w:t>
      </w:r>
    </w:p>
    <w:p w14:paraId="0ECC1669" w14:textId="77777777" w:rsidR="00D77CDE" w:rsidRPr="00FD3AD3" w:rsidRDefault="00D77CDE" w:rsidP="00D77CDE">
      <w:pPr>
        <w:spacing w:line="276" w:lineRule="auto"/>
        <w:ind w:right="40"/>
        <w:rPr>
          <w:szCs w:val="22"/>
        </w:rPr>
      </w:pPr>
    </w:p>
    <w:p w14:paraId="468466A7" w14:textId="77777777" w:rsidR="00D77CDE" w:rsidRPr="00FD3AD3" w:rsidRDefault="00D77CDE" w:rsidP="00D77CDE">
      <w:pPr>
        <w:spacing w:line="276" w:lineRule="auto"/>
        <w:ind w:right="40"/>
        <w:jc w:val="center"/>
        <w:rPr>
          <w:i/>
          <w:szCs w:val="22"/>
        </w:rPr>
      </w:pPr>
      <w:r w:rsidRPr="00FD3AD3">
        <w:rPr>
          <w:i/>
          <w:szCs w:val="22"/>
        </w:rPr>
        <w:t>The Que</w:t>
      </w:r>
      <w:r>
        <w:rPr>
          <w:i/>
          <w:szCs w:val="22"/>
        </w:rPr>
        <w:t>stion of Authorship</w:t>
      </w:r>
    </w:p>
    <w:p w14:paraId="6062EA76" w14:textId="77777777" w:rsidR="00D77CDE" w:rsidRPr="00FD3AD3" w:rsidRDefault="00D77CDE" w:rsidP="00D77CDE">
      <w:pPr>
        <w:spacing w:line="276" w:lineRule="auto"/>
        <w:ind w:right="40"/>
        <w:rPr>
          <w:szCs w:val="22"/>
        </w:rPr>
      </w:pPr>
    </w:p>
    <w:p w14:paraId="4DC989E2" w14:textId="77777777" w:rsidR="00D77CDE" w:rsidRPr="00FD3AD3" w:rsidRDefault="00D77CDE" w:rsidP="00D77CDE">
      <w:pPr>
        <w:spacing w:line="276" w:lineRule="auto"/>
        <w:ind w:right="40"/>
        <w:jc w:val="both"/>
        <w:rPr>
          <w:szCs w:val="22"/>
        </w:rPr>
      </w:pPr>
      <w:r>
        <w:rPr>
          <w:szCs w:val="22"/>
        </w:rPr>
        <w:t>By analyzing</w:t>
      </w:r>
      <w:r w:rsidRPr="00FD3AD3">
        <w:rPr>
          <w:szCs w:val="22"/>
        </w:rPr>
        <w:t xml:space="preserve"> the offices and ranks of </w:t>
      </w:r>
      <w:r>
        <w:rPr>
          <w:szCs w:val="22"/>
        </w:rPr>
        <w:t>figures</w:t>
      </w:r>
      <w:r w:rsidRPr="00FD3AD3">
        <w:rPr>
          <w:szCs w:val="22"/>
        </w:rPr>
        <w:t xml:space="preserve"> mentioned in </w:t>
      </w:r>
      <w:r w:rsidRPr="00FD3AD3">
        <w:rPr>
          <w:i/>
          <w:szCs w:val="22"/>
        </w:rPr>
        <w:t>Baishōron</w:t>
      </w:r>
      <w:r w:rsidRPr="00FD3AD3">
        <w:rPr>
          <w:szCs w:val="22"/>
        </w:rPr>
        <w:t>, Koakimot</w:t>
      </w:r>
      <w:r>
        <w:rPr>
          <w:szCs w:val="22"/>
        </w:rPr>
        <w:t xml:space="preserve">o Dan </w:t>
      </w:r>
      <w:r w:rsidRPr="00E52A0C">
        <w:rPr>
          <w:szCs w:val="22"/>
        </w:rPr>
        <w:t xml:space="preserve">has demontrated </w:t>
      </w:r>
      <w:r w:rsidRPr="001B330B">
        <w:rPr>
          <w:szCs w:val="22"/>
        </w:rPr>
        <w:t>that the work was completed, or at very least reached its current form, between the eighth and tenth months of 1351.</w:t>
      </w:r>
      <w:r w:rsidRPr="00E52A0C">
        <w:rPr>
          <w:rStyle w:val="FootnoteReference"/>
          <w:szCs w:val="22"/>
        </w:rPr>
        <w:footnoteReference w:id="24"/>
      </w:r>
      <w:r w:rsidRPr="00FD3AD3">
        <w:rPr>
          <w:szCs w:val="22"/>
        </w:rPr>
        <w:t xml:space="preserve"> </w:t>
      </w:r>
      <w:r>
        <w:rPr>
          <w:szCs w:val="22"/>
        </w:rPr>
        <w:t xml:space="preserve"> The</w:t>
      </w:r>
      <w:r w:rsidRPr="00FD3AD3">
        <w:rPr>
          <w:szCs w:val="22"/>
        </w:rPr>
        <w:t xml:space="preserve"> timing is </w:t>
      </w:r>
      <w:r>
        <w:rPr>
          <w:szCs w:val="22"/>
        </w:rPr>
        <w:t xml:space="preserve">both significant </w:t>
      </w:r>
      <w:r w:rsidRPr="00FD3AD3">
        <w:rPr>
          <w:szCs w:val="22"/>
        </w:rPr>
        <w:t xml:space="preserve">and ironic, </w:t>
      </w:r>
      <w:r>
        <w:rPr>
          <w:szCs w:val="22"/>
        </w:rPr>
        <w:t>since</w:t>
      </w:r>
      <w:r w:rsidRPr="00FD3AD3">
        <w:rPr>
          <w:szCs w:val="22"/>
        </w:rPr>
        <w:t xml:space="preserve"> this </w:t>
      </w:r>
      <w:r>
        <w:rPr>
          <w:szCs w:val="22"/>
        </w:rPr>
        <w:t>work</w:t>
      </w:r>
      <w:r w:rsidRPr="00FD3AD3">
        <w:rPr>
          <w:szCs w:val="22"/>
        </w:rPr>
        <w:t xml:space="preserve"> dev</w:t>
      </w:r>
      <w:r>
        <w:rPr>
          <w:szCs w:val="22"/>
        </w:rPr>
        <w:t>oted to glorifying the Ashikaga</w:t>
      </w:r>
      <w:r w:rsidRPr="00FD3AD3">
        <w:rPr>
          <w:szCs w:val="22"/>
        </w:rPr>
        <w:t xml:space="preserve"> was written precisely at the moment when the two Ashikaga brothers, Takauji and Tadayoshi, had started fighting each other. The situation in Kyoto </w:t>
      </w:r>
      <w:r>
        <w:rPr>
          <w:szCs w:val="22"/>
        </w:rPr>
        <w:t>was</w:t>
      </w:r>
      <w:r w:rsidRPr="00FD3AD3">
        <w:rPr>
          <w:szCs w:val="22"/>
        </w:rPr>
        <w:t xml:space="preserve"> chaotic, but in Kyushu only a handful of warriors </w:t>
      </w:r>
      <w:r>
        <w:rPr>
          <w:szCs w:val="22"/>
        </w:rPr>
        <w:t>still</w:t>
      </w:r>
      <w:r w:rsidRPr="00FD3AD3">
        <w:rPr>
          <w:szCs w:val="22"/>
        </w:rPr>
        <w:t xml:space="preserve"> support</w:t>
      </w:r>
      <w:r>
        <w:rPr>
          <w:szCs w:val="22"/>
        </w:rPr>
        <w:t>ed</w:t>
      </w:r>
      <w:r w:rsidRPr="00FD3AD3">
        <w:rPr>
          <w:szCs w:val="22"/>
        </w:rPr>
        <w:t xml:space="preserve"> Takauji. The Shōni, </w:t>
      </w:r>
      <w:r>
        <w:rPr>
          <w:szCs w:val="22"/>
        </w:rPr>
        <w:t>one of whom might logically have been the author</w:t>
      </w:r>
      <w:r w:rsidRPr="00FD3AD3">
        <w:rPr>
          <w:szCs w:val="22"/>
        </w:rPr>
        <w:t>, sided with Tadayoshi. Nevertheless, Tadayoshi was killed</w:t>
      </w:r>
      <w:r>
        <w:rPr>
          <w:szCs w:val="22"/>
        </w:rPr>
        <w:t>,</w:t>
      </w:r>
      <w:r w:rsidRPr="00FD3AD3">
        <w:rPr>
          <w:szCs w:val="22"/>
        </w:rPr>
        <w:t xml:space="preserve"> and his supporters lat</w:t>
      </w:r>
      <w:r>
        <w:rPr>
          <w:szCs w:val="22"/>
        </w:rPr>
        <w:t>er transferred their allegiance</w:t>
      </w:r>
      <w:r w:rsidRPr="00FD3AD3">
        <w:rPr>
          <w:szCs w:val="22"/>
        </w:rPr>
        <w:t xml:space="preserve"> to the Southern Court. None of these would have reta</w:t>
      </w:r>
      <w:r>
        <w:rPr>
          <w:szCs w:val="22"/>
        </w:rPr>
        <w:t>ined favor with the Ashikaga beyond 1351.</w:t>
      </w:r>
    </w:p>
    <w:p w14:paraId="47BB74D9" w14:textId="77777777" w:rsidR="00D77CDE" w:rsidRPr="00FD3AD3" w:rsidRDefault="00D77CDE" w:rsidP="00D77CDE">
      <w:pPr>
        <w:spacing w:line="276" w:lineRule="auto"/>
        <w:ind w:right="40" w:firstLine="284"/>
        <w:jc w:val="both"/>
        <w:rPr>
          <w:szCs w:val="22"/>
        </w:rPr>
      </w:pPr>
      <w:r>
        <w:rPr>
          <w:szCs w:val="22"/>
        </w:rPr>
        <w:t>Thus the</w:t>
      </w:r>
      <w:r w:rsidRPr="00FD3AD3">
        <w:rPr>
          <w:szCs w:val="22"/>
        </w:rPr>
        <w:t xml:space="preserve"> </w:t>
      </w:r>
      <w:r>
        <w:rPr>
          <w:szCs w:val="22"/>
        </w:rPr>
        <w:t xml:space="preserve">field of likely </w:t>
      </w:r>
      <w:r w:rsidRPr="00FD3AD3">
        <w:rPr>
          <w:szCs w:val="22"/>
        </w:rPr>
        <w:t>candidate</w:t>
      </w:r>
      <w:r>
        <w:rPr>
          <w:szCs w:val="22"/>
        </w:rPr>
        <w:t>s</w:t>
      </w:r>
      <w:r w:rsidRPr="00FD3AD3">
        <w:rPr>
          <w:szCs w:val="22"/>
        </w:rPr>
        <w:t xml:space="preserve"> for authors</w:t>
      </w:r>
      <w:r>
        <w:rPr>
          <w:szCs w:val="22"/>
        </w:rPr>
        <w:t>hip</w:t>
      </w:r>
      <w:r w:rsidRPr="00FD3AD3">
        <w:rPr>
          <w:szCs w:val="22"/>
        </w:rPr>
        <w:t xml:space="preserve"> narrows to an individual </w:t>
      </w:r>
      <w:r>
        <w:rPr>
          <w:szCs w:val="22"/>
        </w:rPr>
        <w:t>(or individuals)</w:t>
      </w:r>
      <w:r w:rsidRPr="00FD3AD3">
        <w:rPr>
          <w:szCs w:val="22"/>
        </w:rPr>
        <w:t xml:space="preserve"> familiar with Kyushu, who witnessed the battl</w:t>
      </w:r>
      <w:r>
        <w:rPr>
          <w:szCs w:val="22"/>
        </w:rPr>
        <w:t>es of Tadarahama and Minatogawa</w:t>
      </w:r>
      <w:r w:rsidRPr="00FD3AD3">
        <w:rPr>
          <w:szCs w:val="22"/>
        </w:rPr>
        <w:t xml:space="preserve"> and steadily supported Ashikaga </w:t>
      </w:r>
      <w:r w:rsidRPr="00F13FFF">
        <w:rPr>
          <w:szCs w:val="22"/>
        </w:rPr>
        <w:t>Takauji through the time when the work was written. The</w:t>
      </w:r>
      <w:r>
        <w:rPr>
          <w:szCs w:val="22"/>
        </w:rPr>
        <w:t xml:space="preserve"> most plausible possibility</w:t>
      </w:r>
      <w:r w:rsidRPr="00FD3AD3">
        <w:rPr>
          <w:szCs w:val="22"/>
        </w:rPr>
        <w:t xml:space="preserve"> is </w:t>
      </w:r>
      <w:r>
        <w:rPr>
          <w:szCs w:val="22"/>
        </w:rPr>
        <w:t>therefore a member of the Munakata family</w:t>
      </w:r>
      <w:r w:rsidRPr="00FD3AD3">
        <w:rPr>
          <w:szCs w:val="22"/>
        </w:rPr>
        <w:t xml:space="preserve"> or someone closely affiliated with them.  </w:t>
      </w:r>
    </w:p>
    <w:p w14:paraId="7D7E8930" w14:textId="77777777" w:rsidR="00D77CDE" w:rsidRPr="00FD3AD3" w:rsidRDefault="00D77CDE" w:rsidP="00D77CDE">
      <w:pPr>
        <w:spacing w:line="276" w:lineRule="auto"/>
        <w:ind w:right="40"/>
        <w:jc w:val="both"/>
        <w:rPr>
          <w:szCs w:val="22"/>
        </w:rPr>
      </w:pPr>
    </w:p>
    <w:p w14:paraId="7A61E6E7" w14:textId="77777777" w:rsidR="00D77CDE" w:rsidRPr="00FD3AD3" w:rsidRDefault="00D77CDE" w:rsidP="00D77CDE">
      <w:pPr>
        <w:spacing w:line="276" w:lineRule="auto"/>
        <w:jc w:val="center"/>
        <w:rPr>
          <w:i/>
          <w:szCs w:val="22"/>
        </w:rPr>
      </w:pPr>
      <w:r w:rsidRPr="00FD3AD3">
        <w:rPr>
          <w:i/>
          <w:szCs w:val="22"/>
        </w:rPr>
        <w:lastRenderedPageBreak/>
        <w:t>Munakata</w:t>
      </w:r>
      <w:r>
        <w:rPr>
          <w:i/>
          <w:szCs w:val="22"/>
        </w:rPr>
        <w:t xml:space="preserve"> </w:t>
      </w:r>
      <w:r w:rsidRPr="00FD3AD3">
        <w:rPr>
          <w:i/>
          <w:szCs w:val="22"/>
        </w:rPr>
        <w:t>Authors</w:t>
      </w:r>
      <w:r>
        <w:rPr>
          <w:i/>
          <w:szCs w:val="22"/>
        </w:rPr>
        <w:t>hip</w:t>
      </w:r>
    </w:p>
    <w:p w14:paraId="18E41E7C" w14:textId="77777777" w:rsidR="00D77CDE" w:rsidRPr="00FD3AD3" w:rsidRDefault="00D77CDE" w:rsidP="00D77CDE">
      <w:pPr>
        <w:spacing w:line="276" w:lineRule="auto"/>
        <w:rPr>
          <w:i/>
          <w:szCs w:val="22"/>
        </w:rPr>
      </w:pPr>
    </w:p>
    <w:p w14:paraId="02724A8D" w14:textId="77777777" w:rsidR="00D77CDE" w:rsidRPr="008B085B" w:rsidRDefault="00D77CDE" w:rsidP="00D77CDE">
      <w:pPr>
        <w:keepLines w:val="0"/>
        <w:spacing w:line="276" w:lineRule="auto"/>
        <w:jc w:val="both"/>
        <w:rPr>
          <w:color w:val="FF0000"/>
          <w:szCs w:val="22"/>
        </w:rPr>
      </w:pPr>
      <w:r w:rsidRPr="00FD3AD3">
        <w:rPr>
          <w:szCs w:val="22"/>
        </w:rPr>
        <w:t>The Munakata</w:t>
      </w:r>
      <w:r>
        <w:rPr>
          <w:szCs w:val="22"/>
        </w:rPr>
        <w:t>,</w:t>
      </w:r>
      <w:r w:rsidRPr="00FD3AD3">
        <w:rPr>
          <w:szCs w:val="22"/>
        </w:rPr>
        <w:t xml:space="preserve"> a</w:t>
      </w:r>
      <w:r>
        <w:rPr>
          <w:szCs w:val="22"/>
        </w:rPr>
        <w:t xml:space="preserve"> family from </w:t>
      </w:r>
      <w:r w:rsidRPr="00FD3AD3">
        <w:rPr>
          <w:szCs w:val="22"/>
        </w:rPr>
        <w:t xml:space="preserve">Northern Kyushu, </w:t>
      </w:r>
      <w:r>
        <w:rPr>
          <w:szCs w:val="22"/>
        </w:rPr>
        <w:t>staffed the Munakata shrine. Some also</w:t>
      </w:r>
      <w:r w:rsidRPr="00FD3AD3">
        <w:rPr>
          <w:szCs w:val="22"/>
        </w:rPr>
        <w:t xml:space="preserve"> served </w:t>
      </w:r>
      <w:r>
        <w:rPr>
          <w:szCs w:val="22"/>
        </w:rPr>
        <w:t xml:space="preserve">under the Rokuhara </w:t>
      </w:r>
      <w:r w:rsidRPr="00FD3AD3">
        <w:rPr>
          <w:szCs w:val="22"/>
        </w:rPr>
        <w:t xml:space="preserve">as </w:t>
      </w:r>
      <w:r w:rsidRPr="00751D87">
        <w:rPr>
          <w:szCs w:val="22"/>
        </w:rPr>
        <w:t>administrators (</w:t>
      </w:r>
      <w:r w:rsidRPr="00751D87">
        <w:rPr>
          <w:i/>
          <w:szCs w:val="22"/>
        </w:rPr>
        <w:t>tandai</w:t>
      </w:r>
      <w:r w:rsidRPr="00751D87">
        <w:rPr>
          <w:szCs w:val="22"/>
        </w:rPr>
        <w:t xml:space="preserve">), </w:t>
      </w:r>
      <w:r w:rsidRPr="00F13FFF">
        <w:rPr>
          <w:szCs w:val="22"/>
        </w:rPr>
        <w:t>Kamakura’s judicial representative</w:t>
      </w:r>
      <w:r>
        <w:rPr>
          <w:szCs w:val="22"/>
        </w:rPr>
        <w:t>s</w:t>
      </w:r>
      <w:r w:rsidRPr="00F13FFF">
        <w:rPr>
          <w:szCs w:val="22"/>
        </w:rPr>
        <w:t xml:space="preserve"> in Kyoto</w:t>
      </w:r>
      <w:r w:rsidRPr="00FD3AD3">
        <w:rPr>
          <w:szCs w:val="22"/>
        </w:rPr>
        <w:t>.</w:t>
      </w:r>
      <w:r w:rsidRPr="00FD3AD3">
        <w:rPr>
          <w:rStyle w:val="FootnoteReference"/>
          <w:szCs w:val="22"/>
        </w:rPr>
        <w:footnoteReference w:id="25"/>
      </w:r>
      <w:r w:rsidRPr="00FD3AD3">
        <w:rPr>
          <w:szCs w:val="22"/>
        </w:rPr>
        <w:t xml:space="preserve"> For some reason, </w:t>
      </w:r>
      <w:r>
        <w:rPr>
          <w:szCs w:val="22"/>
        </w:rPr>
        <w:t>most such officials sympath</w:t>
      </w:r>
      <w:r w:rsidRPr="00F13FFF">
        <w:rPr>
          <w:szCs w:val="22"/>
        </w:rPr>
        <w:t>ized</w:t>
      </w:r>
      <w:r>
        <w:rPr>
          <w:szCs w:val="22"/>
        </w:rPr>
        <w:t xml:space="preserve"> with</w:t>
      </w:r>
      <w:r w:rsidRPr="00FD3AD3">
        <w:rPr>
          <w:szCs w:val="22"/>
        </w:rPr>
        <w:t xml:space="preserve"> the claims </w:t>
      </w:r>
      <w:r>
        <w:rPr>
          <w:szCs w:val="22"/>
        </w:rPr>
        <w:t>to</w:t>
      </w:r>
      <w:r w:rsidRPr="00FD3AD3">
        <w:rPr>
          <w:szCs w:val="22"/>
        </w:rPr>
        <w:t xml:space="preserve"> legitimacy </w:t>
      </w:r>
      <w:r>
        <w:rPr>
          <w:szCs w:val="22"/>
        </w:rPr>
        <w:t xml:space="preserve">made </w:t>
      </w:r>
      <w:r w:rsidRPr="00FD3AD3">
        <w:rPr>
          <w:szCs w:val="22"/>
        </w:rPr>
        <w:t>by candidates of the Daikakuji lineage. Some, such as Iga Kanemitsu, actively supported the Daikakuji emperor Go-Daigo against Kamakura. The Munakata in Kyoto also came to support Go-Daigo.</w:t>
      </w:r>
      <w:r w:rsidRPr="00FD3AD3">
        <w:rPr>
          <w:rStyle w:val="FootnoteReference"/>
          <w:szCs w:val="22"/>
        </w:rPr>
        <w:footnoteReference w:id="26"/>
      </w:r>
      <w:r>
        <w:rPr>
          <w:szCs w:val="22"/>
        </w:rPr>
        <w:t xml:space="preserve"> </w:t>
      </w:r>
      <w:r w:rsidRPr="00FD3AD3">
        <w:rPr>
          <w:szCs w:val="22"/>
        </w:rPr>
        <w:t xml:space="preserve">This sympathy for Go-Daigo and the Daikakuji emperors </w:t>
      </w:r>
      <w:r>
        <w:rPr>
          <w:szCs w:val="22"/>
        </w:rPr>
        <w:t>pervades the early narrative, com</w:t>
      </w:r>
      <w:r w:rsidRPr="00FD3AD3">
        <w:rPr>
          <w:szCs w:val="22"/>
        </w:rPr>
        <w:t xml:space="preserve">plete with indignation </w:t>
      </w:r>
      <w:r w:rsidRPr="001B330B">
        <w:rPr>
          <w:szCs w:val="22"/>
        </w:rPr>
        <w:t xml:space="preserve">when Kamakura forced a Daikakuji emperor to abdicate in favor of his Jimyōin rival (Kōgon). </w:t>
      </w:r>
      <w:r w:rsidRPr="00F13FFF">
        <w:rPr>
          <w:szCs w:val="22"/>
        </w:rPr>
        <w:t xml:space="preserve">Likewise, a lack of detail concerning </w:t>
      </w:r>
      <w:r>
        <w:rPr>
          <w:szCs w:val="22"/>
        </w:rPr>
        <w:t xml:space="preserve">important </w:t>
      </w:r>
      <w:r w:rsidRPr="00F13FFF">
        <w:rPr>
          <w:szCs w:val="22"/>
        </w:rPr>
        <w:t xml:space="preserve">members of the </w:t>
      </w:r>
      <w:r>
        <w:rPr>
          <w:szCs w:val="22"/>
        </w:rPr>
        <w:t xml:space="preserve">noble </w:t>
      </w:r>
      <w:r w:rsidRPr="00F13FFF">
        <w:rPr>
          <w:szCs w:val="22"/>
        </w:rPr>
        <w:t>Hino family suggests that the author was not in close contact with people affiliated with the Jimyōin emperors.</w:t>
      </w:r>
      <w:r>
        <w:rPr>
          <w:szCs w:val="22"/>
        </w:rPr>
        <w:t xml:space="preserve"> However, these sympathies dissolved</w:t>
      </w:r>
      <w:r w:rsidRPr="00FD3AD3">
        <w:rPr>
          <w:szCs w:val="22"/>
        </w:rPr>
        <w:t xml:space="preserve"> in 1336, once the unpopular Go-Daigo </w:t>
      </w:r>
      <w:r>
        <w:rPr>
          <w:szCs w:val="22"/>
        </w:rPr>
        <w:t xml:space="preserve">himself </w:t>
      </w:r>
      <w:r w:rsidRPr="00FD3AD3">
        <w:rPr>
          <w:szCs w:val="22"/>
        </w:rPr>
        <w:t>became a target of rebellion.</w:t>
      </w:r>
    </w:p>
    <w:p w14:paraId="75A2ABFB" w14:textId="77777777" w:rsidR="00D77CDE" w:rsidRPr="00FD3AD3" w:rsidRDefault="00D77CDE" w:rsidP="00D77CDE">
      <w:pPr>
        <w:pStyle w:val="NoSpacing"/>
        <w:ind w:firstLine="284"/>
      </w:pPr>
      <w:r w:rsidRPr="00FD3AD3">
        <w:t>Minor but significant mistakes</w:t>
      </w:r>
      <w:r>
        <w:t xml:space="preserve"> </w:t>
      </w:r>
      <w:r w:rsidRPr="00FD3AD3">
        <w:t>early</w:t>
      </w:r>
      <w:r>
        <w:t xml:space="preserve"> in the</w:t>
      </w:r>
      <w:r w:rsidRPr="00FD3AD3">
        <w:t xml:space="preserve"> narrative </w:t>
      </w:r>
      <w:r>
        <w:t>show</w:t>
      </w:r>
      <w:r w:rsidRPr="00FD3AD3">
        <w:t xml:space="preserve"> that the author </w:t>
      </w:r>
      <w:r>
        <w:t>was not thoroughly familiar with the court</w:t>
      </w:r>
      <w:r w:rsidRPr="00FD3AD3">
        <w:t xml:space="preserve">. </w:t>
      </w:r>
      <w:r>
        <w:t>The claim that E</w:t>
      </w:r>
      <w:r w:rsidRPr="00FD3AD3">
        <w:t>mperor Go-Horikawa was the grandson of Go-Toba is incorrect.</w:t>
      </w:r>
      <w:r w:rsidRPr="00FD3AD3">
        <w:rPr>
          <w:rStyle w:val="FootnoteReference"/>
          <w:szCs w:val="22"/>
        </w:rPr>
        <w:footnoteReference w:id="27"/>
      </w:r>
      <w:r>
        <w:t xml:space="preserve"> </w:t>
      </w:r>
      <w:r w:rsidRPr="00FD3AD3">
        <w:t xml:space="preserve">The narrative also records imperial reigns as beginning not from the moment </w:t>
      </w:r>
      <w:r>
        <w:t>of an emperor’s accession</w:t>
      </w:r>
      <w:r w:rsidRPr="00FD3AD3">
        <w:t xml:space="preserve">, but rather </w:t>
      </w:r>
      <w:r>
        <w:t xml:space="preserve">from </w:t>
      </w:r>
      <w:r w:rsidRPr="00FD3AD3">
        <w:t xml:space="preserve">the first </w:t>
      </w:r>
      <w:r>
        <w:t>full year of hi</w:t>
      </w:r>
      <w:r w:rsidRPr="00FD3AD3">
        <w:t>s reign.</w:t>
      </w:r>
      <w:r w:rsidRPr="00FD3AD3">
        <w:rPr>
          <w:rStyle w:val="FootnoteReference"/>
          <w:szCs w:val="22"/>
        </w:rPr>
        <w:footnoteReference w:id="28"/>
      </w:r>
      <w:r w:rsidRPr="00FD3AD3">
        <w:t xml:space="preserve"> T</w:t>
      </w:r>
      <w:r>
        <w:t xml:space="preserve">hese </w:t>
      </w:r>
      <w:r w:rsidRPr="00FD3AD3">
        <w:t>errors and inconsistencie</w:t>
      </w:r>
      <w:r>
        <w:t xml:space="preserve">s contrast with the accuracy of </w:t>
      </w:r>
      <w:r w:rsidRPr="00FD3AD3">
        <w:t xml:space="preserve">the </w:t>
      </w:r>
      <w:r>
        <w:t xml:space="preserve">work’s accounts of the </w:t>
      </w:r>
      <w:r w:rsidRPr="00FD3AD3">
        <w:t xml:space="preserve">battles of the 1330s.  </w:t>
      </w:r>
    </w:p>
    <w:p w14:paraId="7CACB531" w14:textId="77777777" w:rsidR="00D77CDE" w:rsidRPr="00FD3AD3" w:rsidRDefault="00D77CDE" w:rsidP="00D77CDE">
      <w:pPr>
        <w:keepLines w:val="0"/>
        <w:spacing w:line="276" w:lineRule="auto"/>
        <w:ind w:firstLine="284"/>
        <w:jc w:val="both"/>
        <w:rPr>
          <w:szCs w:val="22"/>
        </w:rPr>
      </w:pPr>
      <w:r>
        <w:rPr>
          <w:szCs w:val="22"/>
        </w:rPr>
        <w:t>The</w:t>
      </w:r>
      <w:r w:rsidRPr="00FD3AD3">
        <w:rPr>
          <w:szCs w:val="22"/>
        </w:rPr>
        <w:t xml:space="preserve"> </w:t>
      </w:r>
      <w:r w:rsidRPr="00FD3AD3">
        <w:rPr>
          <w:i/>
          <w:szCs w:val="22"/>
        </w:rPr>
        <w:t>Baishōron</w:t>
      </w:r>
      <w:r w:rsidRPr="00FD3AD3">
        <w:rPr>
          <w:szCs w:val="22"/>
        </w:rPr>
        <w:t xml:space="preserve"> author accepted the notion of inviolate imperial authority. Epitomizing these sentiments, the narrative portrays the eastern warr</w:t>
      </w:r>
      <w:r>
        <w:rPr>
          <w:szCs w:val="22"/>
        </w:rPr>
        <w:t>iors as being unable to stand</w:t>
      </w:r>
      <w:r w:rsidRPr="00FD3AD3">
        <w:rPr>
          <w:szCs w:val="22"/>
        </w:rPr>
        <w:t xml:space="preserve"> against the monarch, who in 1221</w:t>
      </w:r>
      <w:r>
        <w:rPr>
          <w:szCs w:val="22"/>
        </w:rPr>
        <w:t xml:space="preserve"> </w:t>
      </w:r>
      <w:r w:rsidRPr="00F13FFF">
        <w:rPr>
          <w:szCs w:val="22"/>
        </w:rPr>
        <w:t>was felt to rule</w:t>
      </w:r>
      <w:r>
        <w:rPr>
          <w:szCs w:val="22"/>
        </w:rPr>
        <w:t xml:space="preserve"> </w:t>
      </w:r>
      <w:r w:rsidRPr="00FD3AD3">
        <w:rPr>
          <w:szCs w:val="22"/>
        </w:rPr>
        <w:t>by moral suasion</w:t>
      </w:r>
      <w:r>
        <w:rPr>
          <w:szCs w:val="22"/>
        </w:rPr>
        <w:t>. T</w:t>
      </w:r>
      <w:r w:rsidRPr="00FD3AD3">
        <w:rPr>
          <w:szCs w:val="22"/>
        </w:rPr>
        <w:t xml:space="preserve">hey won the war </w:t>
      </w:r>
      <w:r>
        <w:rPr>
          <w:szCs w:val="22"/>
        </w:rPr>
        <w:t xml:space="preserve">nonetheless, </w:t>
      </w:r>
      <w:r w:rsidRPr="00FD3AD3">
        <w:rPr>
          <w:szCs w:val="22"/>
        </w:rPr>
        <w:t xml:space="preserve">simply because of </w:t>
      </w:r>
      <w:r>
        <w:rPr>
          <w:szCs w:val="22"/>
        </w:rPr>
        <w:t>Emperor</w:t>
      </w:r>
      <w:r w:rsidRPr="00FD3AD3">
        <w:rPr>
          <w:szCs w:val="22"/>
        </w:rPr>
        <w:t xml:space="preserve"> Go-Toba</w:t>
      </w:r>
      <w:r>
        <w:rPr>
          <w:szCs w:val="22"/>
        </w:rPr>
        <w:t>’s</w:t>
      </w:r>
      <w:r w:rsidRPr="00FD3AD3">
        <w:rPr>
          <w:szCs w:val="22"/>
        </w:rPr>
        <w:t xml:space="preserve"> </w:t>
      </w:r>
      <w:r>
        <w:rPr>
          <w:szCs w:val="22"/>
        </w:rPr>
        <w:t>moral failings</w:t>
      </w:r>
      <w:r w:rsidRPr="00FD3AD3">
        <w:rPr>
          <w:szCs w:val="22"/>
        </w:rPr>
        <w:t>.</w:t>
      </w:r>
      <w:r>
        <w:rPr>
          <w:szCs w:val="22"/>
        </w:rPr>
        <w:t xml:space="preserve"> These sentiments closely match those express in</w:t>
      </w:r>
      <w:r w:rsidRPr="00FD3AD3">
        <w:rPr>
          <w:i/>
          <w:szCs w:val="22"/>
        </w:rPr>
        <w:t xml:space="preserve"> Masukagami</w:t>
      </w:r>
      <w:r w:rsidRPr="00FD3AD3">
        <w:rPr>
          <w:szCs w:val="22"/>
        </w:rPr>
        <w:t>, another fourteenth century narrative with a court p</w:t>
      </w:r>
      <w:r>
        <w:rPr>
          <w:szCs w:val="22"/>
        </w:rPr>
        <w:t xml:space="preserve">erspective. </w:t>
      </w:r>
      <w:r w:rsidRPr="007E4B09">
        <w:rPr>
          <w:i/>
          <w:szCs w:val="22"/>
        </w:rPr>
        <w:t>Baishōron</w:t>
      </w:r>
      <w:r>
        <w:rPr>
          <w:szCs w:val="22"/>
        </w:rPr>
        <w:t xml:space="preserve"> is</w:t>
      </w:r>
      <w:r w:rsidRPr="00FD3AD3">
        <w:rPr>
          <w:szCs w:val="22"/>
        </w:rPr>
        <w:t xml:space="preserve"> unusual, however, in that a provincial warrior possesses attitudes resembling those prevalent at the court.  </w:t>
      </w:r>
    </w:p>
    <w:p w14:paraId="08B0170F" w14:textId="77777777" w:rsidR="00D77CDE" w:rsidRPr="00FD3AD3" w:rsidRDefault="00D77CDE" w:rsidP="00D77CDE">
      <w:pPr>
        <w:spacing w:line="276" w:lineRule="auto"/>
        <w:ind w:firstLine="284"/>
        <w:jc w:val="both"/>
        <w:rPr>
          <w:szCs w:val="22"/>
        </w:rPr>
      </w:pPr>
      <w:r w:rsidRPr="00FD3AD3">
        <w:rPr>
          <w:szCs w:val="22"/>
        </w:rPr>
        <w:t xml:space="preserve">Because </w:t>
      </w:r>
      <w:r w:rsidRPr="00FD3AD3">
        <w:rPr>
          <w:i/>
          <w:szCs w:val="22"/>
        </w:rPr>
        <w:t>Baishōron</w:t>
      </w:r>
      <w:r w:rsidRPr="00FD3AD3">
        <w:rPr>
          <w:szCs w:val="22"/>
        </w:rPr>
        <w:t xml:space="preserve"> has been </w:t>
      </w:r>
      <w:r>
        <w:rPr>
          <w:szCs w:val="22"/>
        </w:rPr>
        <w:t>seen</w:t>
      </w:r>
      <w:r w:rsidRPr="00FD3AD3">
        <w:rPr>
          <w:szCs w:val="22"/>
        </w:rPr>
        <w:t xml:space="preserve"> as </w:t>
      </w:r>
      <w:r>
        <w:rPr>
          <w:szCs w:val="22"/>
        </w:rPr>
        <w:t>a counterpar</w:t>
      </w:r>
      <w:r w:rsidRPr="00FD3AD3">
        <w:rPr>
          <w:szCs w:val="22"/>
        </w:rPr>
        <w:t xml:space="preserve">t to </w:t>
      </w:r>
      <w:r w:rsidRPr="00FD3AD3">
        <w:rPr>
          <w:i/>
          <w:szCs w:val="22"/>
        </w:rPr>
        <w:t xml:space="preserve">Taiheiki, </w:t>
      </w:r>
      <w:r>
        <w:rPr>
          <w:szCs w:val="22"/>
        </w:rPr>
        <w:t>both works’ pro-Daikakuji bias has</w:t>
      </w:r>
      <w:r w:rsidRPr="00FD3AD3">
        <w:rPr>
          <w:szCs w:val="22"/>
        </w:rPr>
        <w:t xml:space="preserve"> </w:t>
      </w:r>
      <w:r>
        <w:rPr>
          <w:szCs w:val="22"/>
        </w:rPr>
        <w:t>encouraged</w:t>
      </w:r>
      <w:r w:rsidRPr="00FD3AD3">
        <w:rPr>
          <w:szCs w:val="22"/>
        </w:rPr>
        <w:t xml:space="preserve"> </w:t>
      </w:r>
      <w:r>
        <w:rPr>
          <w:szCs w:val="22"/>
        </w:rPr>
        <w:t>those who discuss the relationship between court and Kamakura through 1333</w:t>
      </w:r>
      <w:r w:rsidRPr="00FD3AD3">
        <w:rPr>
          <w:szCs w:val="22"/>
        </w:rPr>
        <w:t xml:space="preserve"> to</w:t>
      </w:r>
      <w:r>
        <w:rPr>
          <w:szCs w:val="22"/>
        </w:rPr>
        <w:t xml:space="preserve"> ignore the rival perspective</w:t>
      </w:r>
      <w:r w:rsidRPr="00FD3AD3">
        <w:rPr>
          <w:szCs w:val="22"/>
        </w:rPr>
        <w:t xml:space="preserve">, </w:t>
      </w:r>
      <w:r>
        <w:rPr>
          <w:szCs w:val="22"/>
        </w:rPr>
        <w:t xml:space="preserve">that of </w:t>
      </w:r>
      <w:r w:rsidRPr="00FD3AD3">
        <w:rPr>
          <w:szCs w:val="22"/>
        </w:rPr>
        <w:t>the emperors and courtiers of the Jimyōin lineage</w:t>
      </w:r>
      <w:r>
        <w:rPr>
          <w:szCs w:val="22"/>
        </w:rPr>
        <w:t xml:space="preserve">. </w:t>
      </w:r>
      <w:r w:rsidRPr="00FD3AD3">
        <w:rPr>
          <w:szCs w:val="22"/>
        </w:rPr>
        <w:t xml:space="preserve">This </w:t>
      </w:r>
      <w:r>
        <w:rPr>
          <w:szCs w:val="22"/>
        </w:rPr>
        <w:t xml:space="preserve">caution particularly applies </w:t>
      </w:r>
      <w:r w:rsidRPr="00F13FFF">
        <w:rPr>
          <w:szCs w:val="22"/>
        </w:rPr>
        <w:t>to claims that Go-Saga’s testament required Daikakuji succession.</w:t>
      </w:r>
      <w:r>
        <w:rPr>
          <w:szCs w:val="22"/>
        </w:rPr>
        <w:t xml:space="preserve"> </w:t>
      </w:r>
      <w:r w:rsidRPr="00FD3AD3">
        <w:rPr>
          <w:szCs w:val="22"/>
        </w:rPr>
        <w:t>Jimyōin documents suggest a different interpretation.</w:t>
      </w:r>
      <w:r w:rsidRPr="00FD3AD3">
        <w:rPr>
          <w:rStyle w:val="FootnoteReference"/>
          <w:szCs w:val="22"/>
        </w:rPr>
        <w:footnoteReference w:id="29"/>
      </w:r>
      <w:r w:rsidRPr="00FD3AD3">
        <w:rPr>
          <w:szCs w:val="22"/>
        </w:rPr>
        <w:t xml:space="preserve"> Until recently, the Jimyōin </w:t>
      </w:r>
      <w:r>
        <w:rPr>
          <w:szCs w:val="22"/>
        </w:rPr>
        <w:t>perspective and claim to legitimacy</w:t>
      </w:r>
      <w:r w:rsidRPr="00FD3AD3">
        <w:rPr>
          <w:szCs w:val="22"/>
        </w:rPr>
        <w:t xml:space="preserve"> were </w:t>
      </w:r>
      <w:r>
        <w:rPr>
          <w:szCs w:val="22"/>
        </w:rPr>
        <w:t xml:space="preserve">little understood, although it was the </w:t>
      </w:r>
      <w:r w:rsidRPr="00FD3AD3">
        <w:rPr>
          <w:szCs w:val="22"/>
        </w:rPr>
        <w:t>Jimyōin</w:t>
      </w:r>
      <w:r>
        <w:rPr>
          <w:szCs w:val="22"/>
        </w:rPr>
        <w:t xml:space="preserve"> emperors whom</w:t>
      </w:r>
      <w:r w:rsidRPr="00FD3AD3">
        <w:rPr>
          <w:szCs w:val="22"/>
        </w:rPr>
        <w:t xml:space="preserve"> </w:t>
      </w:r>
      <w:r>
        <w:rPr>
          <w:szCs w:val="22"/>
        </w:rPr>
        <w:t>the Ashikaga supported</w:t>
      </w:r>
      <w:r w:rsidRPr="00FD3AD3">
        <w:rPr>
          <w:szCs w:val="22"/>
        </w:rPr>
        <w:t xml:space="preserve"> and </w:t>
      </w:r>
      <w:r>
        <w:rPr>
          <w:szCs w:val="22"/>
        </w:rPr>
        <w:t>who are the forebears</w:t>
      </w:r>
      <w:r w:rsidRPr="00FD3AD3">
        <w:rPr>
          <w:szCs w:val="22"/>
        </w:rPr>
        <w:t xml:space="preserve"> of the current imperial line.</w:t>
      </w:r>
      <w:r w:rsidRPr="00FD3AD3">
        <w:rPr>
          <w:rStyle w:val="FootnoteReference"/>
          <w:szCs w:val="22"/>
        </w:rPr>
        <w:footnoteReference w:id="30"/>
      </w:r>
      <w:r w:rsidRPr="00FD3AD3">
        <w:rPr>
          <w:szCs w:val="22"/>
        </w:rPr>
        <w:t xml:space="preserve">  </w:t>
      </w:r>
    </w:p>
    <w:p w14:paraId="66715078" w14:textId="77777777" w:rsidR="00D77CDE" w:rsidRPr="00FD3AD3" w:rsidRDefault="00D77CDE" w:rsidP="00D77CDE">
      <w:pPr>
        <w:keepLines w:val="0"/>
        <w:spacing w:line="276" w:lineRule="auto"/>
        <w:ind w:firstLine="284"/>
        <w:jc w:val="both"/>
        <w:rPr>
          <w:szCs w:val="22"/>
        </w:rPr>
      </w:pPr>
      <w:r>
        <w:rPr>
          <w:szCs w:val="22"/>
        </w:rPr>
        <w:t>Although</w:t>
      </w:r>
      <w:r w:rsidRPr="00FD3AD3">
        <w:rPr>
          <w:szCs w:val="22"/>
        </w:rPr>
        <w:t xml:space="preserve"> Munakata </w:t>
      </w:r>
      <w:r w:rsidRPr="00F13FFF">
        <w:rPr>
          <w:szCs w:val="22"/>
        </w:rPr>
        <w:t>administrators</w:t>
      </w:r>
      <w:r>
        <w:rPr>
          <w:szCs w:val="22"/>
        </w:rPr>
        <w:t xml:space="preserve"> linked</w:t>
      </w:r>
      <w:r w:rsidRPr="00FD3AD3">
        <w:rPr>
          <w:szCs w:val="22"/>
        </w:rPr>
        <w:t xml:space="preserve"> to the </w:t>
      </w:r>
      <w:r w:rsidRPr="00F13FFF">
        <w:rPr>
          <w:szCs w:val="22"/>
        </w:rPr>
        <w:t>capital may have had a hand in this</w:t>
      </w:r>
      <w:r w:rsidRPr="00FD3AD3">
        <w:rPr>
          <w:szCs w:val="22"/>
        </w:rPr>
        <w:t xml:space="preserve"> </w:t>
      </w:r>
      <w:r>
        <w:rPr>
          <w:szCs w:val="22"/>
        </w:rPr>
        <w:t>work</w:t>
      </w:r>
      <w:r w:rsidRPr="00FD3AD3">
        <w:rPr>
          <w:szCs w:val="22"/>
        </w:rPr>
        <w:t xml:space="preserve">, not all of the Munakata immediately turned against Kamakura. Those in Northern Kyushu continued to support Kamakura officials </w:t>
      </w:r>
      <w:r w:rsidRPr="00F13FFF">
        <w:rPr>
          <w:szCs w:val="22"/>
        </w:rPr>
        <w:t>through Genkō 3.4.2 (1333), before</w:t>
      </w:r>
      <w:r>
        <w:rPr>
          <w:szCs w:val="22"/>
        </w:rPr>
        <w:t xml:space="preserve"> </w:t>
      </w:r>
      <w:r w:rsidRPr="00FD3AD3">
        <w:rPr>
          <w:szCs w:val="22"/>
        </w:rPr>
        <w:t xml:space="preserve">abandoning </w:t>
      </w:r>
      <w:r>
        <w:rPr>
          <w:szCs w:val="22"/>
        </w:rPr>
        <w:t xml:space="preserve">them, like many others, in the fifth month of Genkō </w:t>
      </w:r>
      <w:r>
        <w:rPr>
          <w:szCs w:val="22"/>
        </w:rPr>
        <w:lastRenderedPageBreak/>
        <w:t>3</w:t>
      </w:r>
      <w:r w:rsidRPr="00FD3AD3">
        <w:rPr>
          <w:szCs w:val="22"/>
        </w:rPr>
        <w:t>.</w:t>
      </w:r>
      <w:r w:rsidRPr="00FD3AD3">
        <w:rPr>
          <w:rStyle w:val="FootnoteReference"/>
          <w:szCs w:val="22"/>
        </w:rPr>
        <w:footnoteReference w:id="31"/>
      </w:r>
      <w:r w:rsidRPr="00FD3AD3">
        <w:rPr>
          <w:szCs w:val="22"/>
        </w:rPr>
        <w:t xml:space="preserve"> The Munakata with the strongest court ties later became </w:t>
      </w:r>
      <w:r>
        <w:rPr>
          <w:szCs w:val="22"/>
        </w:rPr>
        <w:t xml:space="preserve">the </w:t>
      </w:r>
      <w:r w:rsidRPr="00FD3AD3">
        <w:rPr>
          <w:szCs w:val="22"/>
        </w:rPr>
        <w:t xml:space="preserve">most influential </w:t>
      </w:r>
      <w:r>
        <w:rPr>
          <w:szCs w:val="22"/>
        </w:rPr>
        <w:t xml:space="preserve">at the shrine during </w:t>
      </w:r>
      <w:r w:rsidRPr="00FD3AD3">
        <w:rPr>
          <w:szCs w:val="22"/>
        </w:rPr>
        <w:t xml:space="preserve">1333-36, but they quickly shifted allegiances from the Daikakuji emperor Go-Daigo to Ashikaga Takauji when </w:t>
      </w:r>
      <w:r>
        <w:rPr>
          <w:szCs w:val="22"/>
        </w:rPr>
        <w:t>Takauji</w:t>
      </w:r>
      <w:r w:rsidRPr="00FD3AD3">
        <w:rPr>
          <w:szCs w:val="22"/>
        </w:rPr>
        <w:t xml:space="preserve"> rebelled in 1335. One Munakata collateral, Yakurō Ujiie, is</w:t>
      </w:r>
      <w:r>
        <w:rPr>
          <w:szCs w:val="22"/>
        </w:rPr>
        <w:t xml:space="preserve"> described in his genealogy as following Lord </w:t>
      </w:r>
      <w:r w:rsidRPr="00F13FFF">
        <w:rPr>
          <w:szCs w:val="22"/>
        </w:rPr>
        <w:t>Takauji and fighting on his behalf</w:t>
      </w:r>
      <w:r w:rsidRPr="00FD3AD3">
        <w:rPr>
          <w:szCs w:val="22"/>
        </w:rPr>
        <w:t>.</w:t>
      </w:r>
      <w:r w:rsidRPr="00FD3AD3">
        <w:rPr>
          <w:rStyle w:val="FootnoteReference"/>
          <w:szCs w:val="22"/>
        </w:rPr>
        <w:t xml:space="preserve"> </w:t>
      </w:r>
      <w:r w:rsidRPr="00FD3AD3">
        <w:rPr>
          <w:rStyle w:val="FootnoteReference"/>
          <w:szCs w:val="22"/>
        </w:rPr>
        <w:footnoteReference w:id="32"/>
      </w:r>
      <w:r w:rsidRPr="00FD3AD3">
        <w:rPr>
          <w:szCs w:val="22"/>
        </w:rPr>
        <w:t xml:space="preserve"> </w:t>
      </w:r>
    </w:p>
    <w:p w14:paraId="24290A60" w14:textId="77777777" w:rsidR="00D77CDE" w:rsidRPr="00D27805" w:rsidRDefault="00D77CDE" w:rsidP="00D77CDE">
      <w:pPr>
        <w:keepLines w:val="0"/>
        <w:spacing w:line="276" w:lineRule="auto"/>
        <w:ind w:firstLine="284"/>
        <w:jc w:val="both"/>
        <w:rPr>
          <w:szCs w:val="22"/>
        </w:rPr>
      </w:pPr>
      <w:r w:rsidRPr="00FD3AD3">
        <w:rPr>
          <w:szCs w:val="22"/>
        </w:rPr>
        <w:t xml:space="preserve">Munakata Ujinori, </w:t>
      </w:r>
      <w:r w:rsidRPr="00F13FFF">
        <w:rPr>
          <w:szCs w:val="22"/>
        </w:rPr>
        <w:t>the chief priest of the shrine</w:t>
      </w:r>
      <w:r w:rsidRPr="00FD3AD3">
        <w:rPr>
          <w:szCs w:val="22"/>
        </w:rPr>
        <w:t>, was ordered to quell “rebels” w</w:t>
      </w:r>
      <w:r>
        <w:rPr>
          <w:szCs w:val="22"/>
        </w:rPr>
        <w:t xml:space="preserve">ho, </w:t>
      </w:r>
      <w:r w:rsidRPr="00FD3AD3">
        <w:rPr>
          <w:szCs w:val="22"/>
        </w:rPr>
        <w:t>early in 1335</w:t>
      </w:r>
      <w:r>
        <w:rPr>
          <w:szCs w:val="22"/>
        </w:rPr>
        <w:t>, still supported the defeated</w:t>
      </w:r>
      <w:r w:rsidRPr="00FD3AD3">
        <w:rPr>
          <w:szCs w:val="22"/>
        </w:rPr>
        <w:t xml:space="preserve"> and all but </w:t>
      </w:r>
      <w:r>
        <w:rPr>
          <w:szCs w:val="22"/>
        </w:rPr>
        <w:t>destroyed Kamakura bakufu</w:t>
      </w:r>
      <w:r w:rsidRPr="00FD3AD3">
        <w:rPr>
          <w:szCs w:val="22"/>
        </w:rPr>
        <w:t>.</w:t>
      </w:r>
      <w:r w:rsidRPr="00FD3AD3">
        <w:rPr>
          <w:rStyle w:val="FootnoteReference"/>
          <w:szCs w:val="22"/>
        </w:rPr>
        <w:footnoteReference w:id="33"/>
      </w:r>
      <w:r w:rsidRPr="00FD3AD3">
        <w:rPr>
          <w:szCs w:val="22"/>
        </w:rPr>
        <w:t xml:space="preserve"> He </w:t>
      </w:r>
      <w:r>
        <w:rPr>
          <w:szCs w:val="22"/>
        </w:rPr>
        <w:t xml:space="preserve">resigned </w:t>
      </w:r>
      <w:r w:rsidRPr="00FD3AD3">
        <w:rPr>
          <w:szCs w:val="22"/>
        </w:rPr>
        <w:t>his position on the fifteenth day of the third month, not long after the battle of Tadarahama, so as to fight for the Ashikaga. Ujinori and his son Ujitoshi traveled to Kyoto</w:t>
      </w:r>
      <w:r>
        <w:rPr>
          <w:szCs w:val="22"/>
        </w:rPr>
        <w:t>,</w:t>
      </w:r>
      <w:r w:rsidRPr="00FD3AD3">
        <w:rPr>
          <w:szCs w:val="22"/>
        </w:rPr>
        <w:t xml:space="preserve"> where for nine years they fought </w:t>
      </w:r>
      <w:r>
        <w:rPr>
          <w:szCs w:val="22"/>
        </w:rPr>
        <w:t>in many battles</w:t>
      </w:r>
      <w:r w:rsidRPr="00FD3AD3">
        <w:rPr>
          <w:szCs w:val="22"/>
        </w:rPr>
        <w:t>.</w:t>
      </w:r>
      <w:r w:rsidRPr="00FD3AD3">
        <w:rPr>
          <w:rStyle w:val="FootnoteReference"/>
          <w:szCs w:val="22"/>
        </w:rPr>
        <w:footnoteReference w:id="34"/>
      </w:r>
      <w:r w:rsidRPr="00FD3AD3">
        <w:rPr>
          <w:szCs w:val="22"/>
        </w:rPr>
        <w:t xml:space="preserve"> Although Ujinori and Ujitoshi left few documents recounting their exploits, other relatives, who adopted the surname Asamachi, can be documented as shifting their allegiance to Takauji late in 1335.</w:t>
      </w:r>
      <w:r w:rsidRPr="00FD3AD3">
        <w:rPr>
          <w:rStyle w:val="FootnoteReference"/>
          <w:szCs w:val="22"/>
        </w:rPr>
        <w:footnoteReference w:id="35"/>
      </w:r>
      <w:r w:rsidRPr="00FD3AD3">
        <w:rPr>
          <w:szCs w:val="22"/>
        </w:rPr>
        <w:t xml:space="preserve"> Asamachi Mitsuyo fled with Takauji on </w:t>
      </w:r>
      <w:r w:rsidRPr="00D27805">
        <w:rPr>
          <w:szCs w:val="22"/>
        </w:rPr>
        <w:t>Kenmu 3.2.18 (1336) to Onomichi, as the retreating forces made their way west, and then fought at Tadarahama on Kenmu 3.3.2 under the command of the Shōni.</w:t>
      </w:r>
      <w:r w:rsidRPr="00D27805">
        <w:rPr>
          <w:rStyle w:val="FootnoteReference"/>
          <w:szCs w:val="22"/>
        </w:rPr>
        <w:footnoteReference w:id="36"/>
      </w:r>
      <w:r w:rsidRPr="00D27805">
        <w:rPr>
          <w:szCs w:val="22"/>
        </w:rPr>
        <w:t xml:space="preserve"> Another Asamachi, Taneyasu, fought under the Shōni and the Aeba, and served as a witness to the valor of others fighting in Kyoto in 1336.</w:t>
      </w:r>
      <w:r w:rsidRPr="00D27805">
        <w:rPr>
          <w:rStyle w:val="FootnoteReference"/>
          <w:szCs w:val="22"/>
        </w:rPr>
        <w:t xml:space="preserve"> </w:t>
      </w:r>
      <w:r w:rsidRPr="00D27805">
        <w:rPr>
          <w:rStyle w:val="FootnoteReference"/>
          <w:szCs w:val="22"/>
        </w:rPr>
        <w:footnoteReference w:id="37"/>
      </w:r>
      <w:r w:rsidRPr="00D27805">
        <w:rPr>
          <w:szCs w:val="22"/>
        </w:rPr>
        <w:t xml:space="preserve"> </w:t>
      </w:r>
    </w:p>
    <w:p w14:paraId="557FC53D" w14:textId="77777777" w:rsidR="00D77CDE" w:rsidRPr="00FD3AD3" w:rsidRDefault="00D77CDE" w:rsidP="00D77CDE">
      <w:pPr>
        <w:keepLines w:val="0"/>
        <w:spacing w:line="276" w:lineRule="auto"/>
        <w:ind w:firstLine="284"/>
        <w:jc w:val="both"/>
        <w:rPr>
          <w:szCs w:val="22"/>
        </w:rPr>
      </w:pPr>
      <w:r w:rsidRPr="00D27805">
        <w:rPr>
          <w:szCs w:val="22"/>
        </w:rPr>
        <w:t>The Munakata can be verified as fighting in Kyushu and Kyoto in 1336, and as serving under commanders who occupy a prominent role in the narrative.  On Kenmu 3.4.2,</w:t>
      </w:r>
      <w:r>
        <w:rPr>
          <w:color w:val="FF0000"/>
          <w:szCs w:val="22"/>
        </w:rPr>
        <w:t xml:space="preserve"> </w:t>
      </w:r>
      <w:r w:rsidRPr="008B085B">
        <w:rPr>
          <w:szCs w:val="22"/>
        </w:rPr>
        <w:t>before</w:t>
      </w:r>
      <w:r>
        <w:rPr>
          <w:color w:val="FF0000"/>
          <w:szCs w:val="22"/>
        </w:rPr>
        <w:t xml:space="preserve"> </w:t>
      </w:r>
      <w:r w:rsidRPr="00FD3AD3">
        <w:rPr>
          <w:szCs w:val="22"/>
        </w:rPr>
        <w:t>th</w:t>
      </w:r>
      <w:r>
        <w:rPr>
          <w:szCs w:val="22"/>
        </w:rPr>
        <w:t>e decisive battle of Minatogawa, t</w:t>
      </w:r>
      <w:r w:rsidRPr="00FD3AD3">
        <w:rPr>
          <w:szCs w:val="22"/>
        </w:rPr>
        <w:t>hey also received rewards for their service</w:t>
      </w:r>
      <w:r>
        <w:rPr>
          <w:szCs w:val="22"/>
        </w:rPr>
        <w:t>s</w:t>
      </w:r>
      <w:r w:rsidRPr="00FD3AD3">
        <w:rPr>
          <w:szCs w:val="22"/>
        </w:rPr>
        <w:t xml:space="preserve"> from Ashikaga Takauji.</w:t>
      </w:r>
      <w:r w:rsidRPr="00FD3AD3">
        <w:rPr>
          <w:rStyle w:val="FootnoteReference"/>
          <w:szCs w:val="22"/>
        </w:rPr>
        <w:footnoteReference w:id="38"/>
      </w:r>
      <w:r w:rsidRPr="00FD3AD3">
        <w:rPr>
          <w:szCs w:val="22"/>
        </w:rPr>
        <w:t xml:space="preserve"> Takauji rarely granted rewards before his authority stabilized. His bestowal of these lands </w:t>
      </w:r>
      <w:r>
        <w:rPr>
          <w:szCs w:val="22"/>
        </w:rPr>
        <w:t>on</w:t>
      </w:r>
      <w:r w:rsidRPr="00FD3AD3">
        <w:rPr>
          <w:szCs w:val="22"/>
        </w:rPr>
        <w:t xml:space="preserve"> the Munakata</w:t>
      </w:r>
      <w:r>
        <w:rPr>
          <w:szCs w:val="22"/>
        </w:rPr>
        <w:t>,</w:t>
      </w:r>
      <w:r w:rsidRPr="00FD3AD3">
        <w:rPr>
          <w:szCs w:val="22"/>
        </w:rPr>
        <w:t xml:space="preserve"> while still advancing on the capital</w:t>
      </w:r>
      <w:r>
        <w:rPr>
          <w:szCs w:val="22"/>
        </w:rPr>
        <w:t>,</w:t>
      </w:r>
      <w:r w:rsidRPr="00FD3AD3">
        <w:rPr>
          <w:szCs w:val="22"/>
        </w:rPr>
        <w:t xml:space="preserve"> reveals the significance of the Munakata’s valor at Tadarahama.   </w:t>
      </w:r>
    </w:p>
    <w:p w14:paraId="21BE9020" w14:textId="77777777" w:rsidR="00D77CDE" w:rsidRPr="00FD3AD3" w:rsidRDefault="00D77CDE" w:rsidP="00D77CDE">
      <w:pPr>
        <w:keepLines w:val="0"/>
        <w:spacing w:line="276" w:lineRule="auto"/>
        <w:ind w:firstLine="284"/>
        <w:jc w:val="both"/>
        <w:rPr>
          <w:szCs w:val="22"/>
        </w:rPr>
      </w:pPr>
      <w:r w:rsidRPr="00FD3AD3">
        <w:rPr>
          <w:szCs w:val="22"/>
        </w:rPr>
        <w:t xml:space="preserve">With close ties to the Ashikaga, the Munakata remained steadfast supporters of Takauji through the 1350s, even though Takauji’s support all but collapsed in the west when he warred against his brother Tadayoshi. </w:t>
      </w:r>
      <w:r>
        <w:rPr>
          <w:szCs w:val="22"/>
        </w:rPr>
        <w:t xml:space="preserve">Ujiie, </w:t>
      </w:r>
      <w:r w:rsidRPr="00FD3AD3">
        <w:rPr>
          <w:szCs w:val="22"/>
        </w:rPr>
        <w:t>described in the Munakata genealogy as fighting bravely at Tadarahama, received an edict (</w:t>
      </w:r>
      <w:r w:rsidRPr="00FD3AD3">
        <w:rPr>
          <w:i/>
          <w:szCs w:val="22"/>
        </w:rPr>
        <w:t>onkudashibumi</w:t>
      </w:r>
      <w:r w:rsidRPr="00FD3AD3">
        <w:rPr>
          <w:szCs w:val="22"/>
        </w:rPr>
        <w:t xml:space="preserve">) from Takauji </w:t>
      </w:r>
      <w:r>
        <w:rPr>
          <w:szCs w:val="22"/>
        </w:rPr>
        <w:t>on Kannō 2.</w:t>
      </w:r>
      <w:r w:rsidRPr="00D27805">
        <w:rPr>
          <w:szCs w:val="22"/>
        </w:rPr>
        <w:t>11.29 (1351) and a concurrent</w:t>
      </w:r>
      <w:r w:rsidRPr="00FD3AD3">
        <w:rPr>
          <w:szCs w:val="22"/>
        </w:rPr>
        <w:t xml:space="preserve"> appointment to </w:t>
      </w:r>
      <w:r w:rsidRPr="00C175E3">
        <w:rPr>
          <w:szCs w:val="22"/>
        </w:rPr>
        <w:t xml:space="preserve">the </w:t>
      </w:r>
      <w:r w:rsidRPr="00C175E3">
        <w:rPr>
          <w:i/>
          <w:szCs w:val="22"/>
        </w:rPr>
        <w:t>jitō</w:t>
      </w:r>
      <w:r>
        <w:rPr>
          <w:szCs w:val="22"/>
        </w:rPr>
        <w:t xml:space="preserve"> </w:t>
      </w:r>
      <w:r w:rsidRPr="00FD3AD3">
        <w:rPr>
          <w:szCs w:val="22"/>
        </w:rPr>
        <w:t>post of Miyanaga Kata</w:t>
      </w:r>
      <w:r>
        <w:rPr>
          <w:szCs w:val="22"/>
        </w:rPr>
        <w:t>kuma</w:t>
      </w:r>
      <w:r w:rsidRPr="00FD3AD3">
        <w:rPr>
          <w:szCs w:val="22"/>
        </w:rPr>
        <w:t xml:space="preserve">, in Kurate district </w:t>
      </w:r>
      <w:r>
        <w:rPr>
          <w:szCs w:val="22"/>
        </w:rPr>
        <w:t xml:space="preserve">of </w:t>
      </w:r>
      <w:r w:rsidRPr="00FD3AD3">
        <w:rPr>
          <w:szCs w:val="22"/>
        </w:rPr>
        <w:t>Chikuzen province.</w:t>
      </w:r>
      <w:r w:rsidRPr="00FD3AD3">
        <w:rPr>
          <w:rStyle w:val="FootnoteReference"/>
          <w:szCs w:val="22"/>
        </w:rPr>
        <w:footnoteReference w:id="39"/>
      </w:r>
      <w:r w:rsidRPr="00FD3AD3">
        <w:rPr>
          <w:szCs w:val="22"/>
        </w:rPr>
        <w:t xml:space="preserve"> </w:t>
      </w:r>
      <w:r>
        <w:rPr>
          <w:szCs w:val="22"/>
        </w:rPr>
        <w:t>This i</w:t>
      </w:r>
      <w:r w:rsidRPr="00FD3AD3">
        <w:rPr>
          <w:szCs w:val="22"/>
        </w:rPr>
        <w:t xml:space="preserve">s </w:t>
      </w:r>
      <w:r>
        <w:rPr>
          <w:szCs w:val="22"/>
        </w:rPr>
        <w:t>around</w:t>
      </w:r>
      <w:r w:rsidRPr="00FD3AD3">
        <w:rPr>
          <w:szCs w:val="22"/>
        </w:rPr>
        <w:t xml:space="preserve"> the time when the </w:t>
      </w:r>
      <w:r w:rsidRPr="00FD3AD3">
        <w:rPr>
          <w:i/>
          <w:szCs w:val="22"/>
        </w:rPr>
        <w:t xml:space="preserve">Baishōron </w:t>
      </w:r>
      <w:r w:rsidRPr="00FD3AD3">
        <w:rPr>
          <w:szCs w:val="22"/>
        </w:rPr>
        <w:t>was written</w:t>
      </w:r>
      <w:r>
        <w:rPr>
          <w:szCs w:val="22"/>
        </w:rPr>
        <w:t>. I</w:t>
      </w:r>
      <w:r w:rsidRPr="00FD3AD3">
        <w:rPr>
          <w:szCs w:val="22"/>
        </w:rPr>
        <w:t xml:space="preserve">n this case, one can </w:t>
      </w:r>
      <w:r>
        <w:rPr>
          <w:szCs w:val="22"/>
        </w:rPr>
        <w:t>therefore affirm</w:t>
      </w:r>
      <w:r w:rsidRPr="00FD3AD3">
        <w:rPr>
          <w:szCs w:val="22"/>
        </w:rPr>
        <w:t xml:space="preserve"> that a veteran of Tadarahama re</w:t>
      </w:r>
      <w:r>
        <w:rPr>
          <w:szCs w:val="22"/>
        </w:rPr>
        <w:t>mained i</w:t>
      </w:r>
      <w:r w:rsidRPr="00FD3AD3">
        <w:rPr>
          <w:szCs w:val="22"/>
        </w:rPr>
        <w:t>n Takauji’s good graces in 1351.</w:t>
      </w:r>
      <w:r w:rsidRPr="00FD3AD3">
        <w:rPr>
          <w:rStyle w:val="FootnoteReference"/>
          <w:szCs w:val="22"/>
        </w:rPr>
        <w:footnoteReference w:id="40"/>
      </w:r>
      <w:r w:rsidRPr="00FD3AD3">
        <w:rPr>
          <w:szCs w:val="22"/>
        </w:rPr>
        <w:t xml:space="preserve"> Ujiie </w:t>
      </w:r>
      <w:r>
        <w:rPr>
          <w:szCs w:val="22"/>
        </w:rPr>
        <w:t>ultimately lost his autonomy</w:t>
      </w:r>
      <w:r w:rsidRPr="00FD3AD3">
        <w:rPr>
          <w:szCs w:val="22"/>
        </w:rPr>
        <w:t xml:space="preserve"> and transferred his records to the main Munakata </w:t>
      </w:r>
      <w:r>
        <w:rPr>
          <w:szCs w:val="22"/>
        </w:rPr>
        <w:t>line</w:t>
      </w:r>
      <w:r w:rsidRPr="00FD3AD3">
        <w:rPr>
          <w:szCs w:val="22"/>
        </w:rPr>
        <w:t xml:space="preserve">, </w:t>
      </w:r>
      <w:r>
        <w:rPr>
          <w:szCs w:val="22"/>
        </w:rPr>
        <w:t>and</w:t>
      </w:r>
      <w:r w:rsidRPr="00FD3AD3">
        <w:rPr>
          <w:szCs w:val="22"/>
        </w:rPr>
        <w:t xml:space="preserve"> most were lost. </w:t>
      </w:r>
      <w:r>
        <w:rPr>
          <w:szCs w:val="22"/>
        </w:rPr>
        <w:t xml:space="preserve">Whether he or </w:t>
      </w:r>
      <w:r>
        <w:rPr>
          <w:szCs w:val="22"/>
        </w:rPr>
        <w:lastRenderedPageBreak/>
        <w:t>his brothers,</w:t>
      </w:r>
      <w:r w:rsidRPr="00FD3AD3">
        <w:rPr>
          <w:szCs w:val="22"/>
        </w:rPr>
        <w:t xml:space="preserve"> nephews</w:t>
      </w:r>
      <w:r>
        <w:rPr>
          <w:szCs w:val="22"/>
        </w:rPr>
        <w:t>,</w:t>
      </w:r>
      <w:r w:rsidRPr="00FD3AD3">
        <w:rPr>
          <w:szCs w:val="22"/>
        </w:rPr>
        <w:t xml:space="preserve"> and uncles were mostly responsible for the narrative is presently unknowable, but the probability of a Munakata connection remains high.</w:t>
      </w:r>
      <w:r w:rsidRPr="00FD3AD3">
        <w:rPr>
          <w:rStyle w:val="FootnoteReference"/>
          <w:szCs w:val="22"/>
        </w:rPr>
        <w:footnoteReference w:id="41"/>
      </w:r>
      <w:r w:rsidRPr="00FD3AD3">
        <w:rPr>
          <w:szCs w:val="22"/>
        </w:rPr>
        <w:t xml:space="preserve">    </w:t>
      </w:r>
    </w:p>
    <w:p w14:paraId="26ABE2BC" w14:textId="77777777" w:rsidR="00D77CDE" w:rsidRPr="00FD3AD3" w:rsidRDefault="00D77CDE" w:rsidP="00D77CDE">
      <w:pPr>
        <w:spacing w:line="276" w:lineRule="auto"/>
        <w:jc w:val="both"/>
        <w:rPr>
          <w:szCs w:val="22"/>
        </w:rPr>
      </w:pPr>
    </w:p>
    <w:p w14:paraId="2B26083C" w14:textId="77777777" w:rsidR="00D77CDE" w:rsidRPr="00FD3AD3" w:rsidRDefault="00D77CDE" w:rsidP="00D77CDE">
      <w:pPr>
        <w:spacing w:line="276" w:lineRule="auto"/>
        <w:jc w:val="center"/>
        <w:rPr>
          <w:i/>
          <w:szCs w:val="22"/>
        </w:rPr>
      </w:pPr>
      <w:r w:rsidRPr="0055334F">
        <w:rPr>
          <w:szCs w:val="22"/>
        </w:rPr>
        <w:t>Baishōron</w:t>
      </w:r>
      <w:r>
        <w:rPr>
          <w:i/>
          <w:szCs w:val="22"/>
        </w:rPr>
        <w:t xml:space="preserve"> as a Counterpar</w:t>
      </w:r>
      <w:r w:rsidRPr="00FD3AD3">
        <w:rPr>
          <w:i/>
          <w:szCs w:val="22"/>
        </w:rPr>
        <w:t xml:space="preserve">t to the Oldest Versions of </w:t>
      </w:r>
      <w:r w:rsidRPr="0055334F">
        <w:rPr>
          <w:szCs w:val="22"/>
        </w:rPr>
        <w:t>Taiheiki</w:t>
      </w:r>
    </w:p>
    <w:p w14:paraId="6D16B9A4" w14:textId="77777777" w:rsidR="00D77CDE" w:rsidRPr="00FD3AD3" w:rsidRDefault="00D77CDE" w:rsidP="00D77CDE">
      <w:pPr>
        <w:spacing w:line="276" w:lineRule="auto"/>
        <w:rPr>
          <w:i/>
          <w:szCs w:val="22"/>
        </w:rPr>
      </w:pPr>
    </w:p>
    <w:p w14:paraId="1BDCAC3C" w14:textId="77777777" w:rsidR="00D77CDE" w:rsidRPr="00FD3AD3" w:rsidRDefault="00D77CDE" w:rsidP="00D77CDE">
      <w:pPr>
        <w:keepLines w:val="0"/>
        <w:spacing w:line="276" w:lineRule="auto"/>
        <w:jc w:val="both"/>
        <w:rPr>
          <w:szCs w:val="22"/>
        </w:rPr>
      </w:pPr>
      <w:r w:rsidRPr="00FD3AD3">
        <w:rPr>
          <w:i/>
          <w:szCs w:val="22"/>
        </w:rPr>
        <w:t xml:space="preserve">Baishōron </w:t>
      </w:r>
      <w:r>
        <w:rPr>
          <w:szCs w:val="22"/>
        </w:rPr>
        <w:t>seems to have been written in</w:t>
      </w:r>
      <w:r w:rsidRPr="00FD3AD3">
        <w:rPr>
          <w:szCs w:val="22"/>
        </w:rPr>
        <w:t xml:space="preserve"> response to the earliest versions of </w:t>
      </w:r>
      <w:r w:rsidRPr="00FD3AD3">
        <w:rPr>
          <w:i/>
          <w:szCs w:val="22"/>
        </w:rPr>
        <w:t>Taiheiki</w:t>
      </w:r>
      <w:r w:rsidRPr="00FD3AD3">
        <w:rPr>
          <w:szCs w:val="22"/>
        </w:rPr>
        <w:t xml:space="preserve">, none of which </w:t>
      </w:r>
      <w:r>
        <w:rPr>
          <w:szCs w:val="22"/>
        </w:rPr>
        <w:t>now</w:t>
      </w:r>
      <w:r w:rsidRPr="00FD3AD3">
        <w:rPr>
          <w:szCs w:val="22"/>
        </w:rPr>
        <w:t xml:space="preserve"> survive</w:t>
      </w:r>
      <w:r>
        <w:rPr>
          <w:szCs w:val="22"/>
        </w:rPr>
        <w:t>s</w:t>
      </w:r>
      <w:r w:rsidRPr="00FD3AD3">
        <w:rPr>
          <w:szCs w:val="22"/>
        </w:rPr>
        <w:t xml:space="preserve">. Koakimoto Dan’s research </w:t>
      </w:r>
      <w:r>
        <w:rPr>
          <w:szCs w:val="22"/>
        </w:rPr>
        <w:t>suggests</w:t>
      </w:r>
      <w:r w:rsidRPr="00FD3AD3">
        <w:rPr>
          <w:szCs w:val="22"/>
        </w:rPr>
        <w:t xml:space="preserve"> that </w:t>
      </w:r>
      <w:r>
        <w:rPr>
          <w:szCs w:val="22"/>
        </w:rPr>
        <w:t>its narrative most closely matches</w:t>
      </w:r>
      <w:r w:rsidRPr="00FD3AD3">
        <w:rPr>
          <w:szCs w:val="22"/>
        </w:rPr>
        <w:t xml:space="preserve"> the </w:t>
      </w:r>
      <w:r>
        <w:rPr>
          <w:szCs w:val="22"/>
        </w:rPr>
        <w:t xml:space="preserve">oldest </w:t>
      </w:r>
      <w:r w:rsidRPr="00FD3AD3">
        <w:rPr>
          <w:i/>
          <w:szCs w:val="22"/>
        </w:rPr>
        <w:t>Taiheiki</w:t>
      </w:r>
      <w:r w:rsidRPr="00FD3AD3">
        <w:rPr>
          <w:szCs w:val="22"/>
        </w:rPr>
        <w:t xml:space="preserve"> </w:t>
      </w:r>
      <w:r>
        <w:rPr>
          <w:szCs w:val="22"/>
        </w:rPr>
        <w:t>variants.</w:t>
      </w:r>
      <w:r w:rsidRPr="00FD3AD3">
        <w:rPr>
          <w:rStyle w:val="FootnoteReference"/>
          <w:szCs w:val="22"/>
        </w:rPr>
        <w:footnoteReference w:id="42"/>
      </w:r>
      <w:r w:rsidRPr="00FD3AD3">
        <w:rPr>
          <w:szCs w:val="22"/>
        </w:rPr>
        <w:t xml:space="preserve"> </w:t>
      </w:r>
      <w:r>
        <w:rPr>
          <w:szCs w:val="22"/>
        </w:rPr>
        <w:t xml:space="preserve">Its </w:t>
      </w:r>
      <w:r w:rsidRPr="00FD3AD3">
        <w:rPr>
          <w:szCs w:val="22"/>
        </w:rPr>
        <w:t xml:space="preserve">author was aware of </w:t>
      </w:r>
      <w:r w:rsidRPr="00FD3AD3">
        <w:rPr>
          <w:i/>
          <w:szCs w:val="22"/>
        </w:rPr>
        <w:t>Taiheiki</w:t>
      </w:r>
      <w:r w:rsidRPr="00FD3AD3">
        <w:rPr>
          <w:szCs w:val="22"/>
        </w:rPr>
        <w:t xml:space="preserve"> or </w:t>
      </w:r>
      <w:r>
        <w:rPr>
          <w:szCs w:val="22"/>
        </w:rPr>
        <w:t>had</w:t>
      </w:r>
      <w:r w:rsidRPr="00FD3AD3">
        <w:rPr>
          <w:szCs w:val="22"/>
        </w:rPr>
        <w:t xml:space="preserve"> access to a shared narrative tradition </w:t>
      </w:r>
      <w:r>
        <w:rPr>
          <w:szCs w:val="22"/>
        </w:rPr>
        <w:t xml:space="preserve">that </w:t>
      </w:r>
      <w:r w:rsidRPr="00FD3AD3">
        <w:rPr>
          <w:szCs w:val="22"/>
        </w:rPr>
        <w:t>influenced both texts. For exampl</w:t>
      </w:r>
      <w:r>
        <w:rPr>
          <w:szCs w:val="22"/>
        </w:rPr>
        <w:t>e, the parodic poem about watch</w:t>
      </w:r>
      <w:r w:rsidRPr="00FD3AD3">
        <w:rPr>
          <w:szCs w:val="22"/>
        </w:rPr>
        <w:t>fires at Amida</w:t>
      </w:r>
      <w:r>
        <w:rPr>
          <w:szCs w:val="22"/>
        </w:rPr>
        <w:t>-ga-</w:t>
      </w:r>
      <w:r w:rsidRPr="00FD3AD3">
        <w:rPr>
          <w:szCs w:val="22"/>
        </w:rPr>
        <w:t xml:space="preserve">mine appears in both </w:t>
      </w:r>
      <w:r>
        <w:rPr>
          <w:szCs w:val="22"/>
        </w:rPr>
        <w:t>works.</w:t>
      </w:r>
      <w:r w:rsidRPr="00FD3AD3">
        <w:rPr>
          <w:rStyle w:val="FootnoteReference"/>
          <w:szCs w:val="22"/>
        </w:rPr>
        <w:footnoteReference w:id="43"/>
      </w:r>
      <w:r w:rsidRPr="00FD3AD3">
        <w:rPr>
          <w:szCs w:val="22"/>
        </w:rPr>
        <w:t xml:space="preserve"> </w:t>
      </w:r>
      <w:r>
        <w:rPr>
          <w:szCs w:val="22"/>
        </w:rPr>
        <w:t>Likewise,</w:t>
      </w:r>
      <w:r w:rsidRPr="00FD3AD3">
        <w:rPr>
          <w:szCs w:val="22"/>
        </w:rPr>
        <w:t xml:space="preserve"> </w:t>
      </w:r>
      <w:r w:rsidRPr="00FD3AD3">
        <w:rPr>
          <w:i/>
          <w:szCs w:val="22"/>
        </w:rPr>
        <w:t>Baishōron</w:t>
      </w:r>
      <w:r>
        <w:rPr>
          <w:szCs w:val="22"/>
        </w:rPr>
        <w:t xml:space="preserve"> has Takauji rebel</w:t>
      </w:r>
      <w:r w:rsidRPr="00FD3AD3">
        <w:rPr>
          <w:szCs w:val="22"/>
        </w:rPr>
        <w:t xml:space="preserve"> because he was forced to attack Kamakura while still in mourning for his fathe</w:t>
      </w:r>
      <w:r>
        <w:rPr>
          <w:szCs w:val="22"/>
        </w:rPr>
        <w:t>r. However,</w:t>
      </w:r>
      <w:r w:rsidRPr="00FD3AD3">
        <w:rPr>
          <w:szCs w:val="22"/>
        </w:rPr>
        <w:t xml:space="preserve"> his father </w:t>
      </w:r>
      <w:r>
        <w:rPr>
          <w:szCs w:val="22"/>
        </w:rPr>
        <w:t>died in 1331,</w:t>
      </w:r>
      <w:r w:rsidRPr="00FD3AD3">
        <w:rPr>
          <w:szCs w:val="22"/>
        </w:rPr>
        <w:t xml:space="preserve"> not 1333.  This </w:t>
      </w:r>
      <w:r>
        <w:rPr>
          <w:szCs w:val="22"/>
        </w:rPr>
        <w:t xml:space="preserve">same mistake, </w:t>
      </w:r>
      <w:r w:rsidRPr="00FD3AD3">
        <w:rPr>
          <w:szCs w:val="22"/>
        </w:rPr>
        <w:t xml:space="preserve">corrected in later versions of </w:t>
      </w:r>
      <w:r w:rsidRPr="00FD3AD3">
        <w:rPr>
          <w:i/>
          <w:szCs w:val="22"/>
        </w:rPr>
        <w:t>Taiheiki</w:t>
      </w:r>
      <w:r w:rsidRPr="00FD3AD3">
        <w:rPr>
          <w:szCs w:val="22"/>
        </w:rPr>
        <w:t xml:space="preserve">, </w:t>
      </w:r>
      <w:r>
        <w:rPr>
          <w:szCs w:val="22"/>
        </w:rPr>
        <w:t>appears also in</w:t>
      </w:r>
      <w:r w:rsidRPr="00FD3AD3">
        <w:rPr>
          <w:szCs w:val="22"/>
        </w:rPr>
        <w:t xml:space="preserve"> the oldest</w:t>
      </w:r>
      <w:r>
        <w:rPr>
          <w:szCs w:val="22"/>
        </w:rPr>
        <w:t xml:space="preserve"> extant</w:t>
      </w:r>
      <w:r w:rsidRPr="00FD3AD3">
        <w:rPr>
          <w:szCs w:val="22"/>
        </w:rPr>
        <w:t xml:space="preserve"> version </w:t>
      </w:r>
      <w:r>
        <w:rPr>
          <w:szCs w:val="22"/>
        </w:rPr>
        <w:t xml:space="preserve">(the </w:t>
      </w:r>
      <w:r w:rsidRPr="00FD3AD3">
        <w:rPr>
          <w:i/>
          <w:szCs w:val="22"/>
        </w:rPr>
        <w:t>Kandabon</w:t>
      </w:r>
      <w:r>
        <w:rPr>
          <w:szCs w:val="22"/>
        </w:rPr>
        <w:t>)</w:t>
      </w:r>
      <w:r w:rsidRPr="00FD3AD3">
        <w:rPr>
          <w:i/>
          <w:szCs w:val="22"/>
        </w:rPr>
        <w:t xml:space="preserve"> </w:t>
      </w:r>
      <w:r w:rsidRPr="00FD3AD3">
        <w:rPr>
          <w:szCs w:val="22"/>
        </w:rPr>
        <w:t>of this work.</w:t>
      </w:r>
      <w:r w:rsidRPr="00FD3AD3">
        <w:rPr>
          <w:rStyle w:val="FootnoteReference"/>
          <w:szCs w:val="22"/>
        </w:rPr>
        <w:footnoteReference w:id="44"/>
      </w:r>
      <w:r w:rsidRPr="00FD3AD3">
        <w:rPr>
          <w:i/>
          <w:szCs w:val="22"/>
        </w:rPr>
        <w:t xml:space="preserve"> </w:t>
      </w:r>
      <w:r w:rsidRPr="00FD3AD3">
        <w:rPr>
          <w:szCs w:val="22"/>
        </w:rPr>
        <w:t xml:space="preserve"> </w:t>
      </w:r>
    </w:p>
    <w:p w14:paraId="7BC843BF" w14:textId="77777777" w:rsidR="00D77CDE" w:rsidRPr="00FD3AD3" w:rsidRDefault="00D77CDE" w:rsidP="00D77CDE">
      <w:pPr>
        <w:spacing w:line="276" w:lineRule="auto"/>
        <w:ind w:firstLine="284"/>
        <w:jc w:val="both"/>
        <w:rPr>
          <w:i/>
          <w:szCs w:val="22"/>
        </w:rPr>
      </w:pPr>
      <w:r w:rsidRPr="00FD3AD3">
        <w:rPr>
          <w:i/>
          <w:szCs w:val="22"/>
        </w:rPr>
        <w:t>Baishōron</w:t>
      </w:r>
      <w:r w:rsidRPr="00FD3AD3">
        <w:rPr>
          <w:szCs w:val="22"/>
        </w:rPr>
        <w:t xml:space="preserve"> also resembles </w:t>
      </w:r>
      <w:r w:rsidRPr="00FD3AD3">
        <w:rPr>
          <w:i/>
          <w:szCs w:val="22"/>
        </w:rPr>
        <w:t xml:space="preserve">Taiheiki </w:t>
      </w:r>
      <w:r w:rsidRPr="00FD3AD3">
        <w:rPr>
          <w:szCs w:val="22"/>
        </w:rPr>
        <w:t>in its cover</w:t>
      </w:r>
      <w:r>
        <w:rPr>
          <w:szCs w:val="22"/>
        </w:rPr>
        <w:t>age of the battle of Minatogawa</w:t>
      </w:r>
      <w:r w:rsidRPr="00FD3AD3">
        <w:rPr>
          <w:szCs w:val="22"/>
        </w:rPr>
        <w:t xml:space="preserve"> and its </w:t>
      </w:r>
      <w:r>
        <w:rPr>
          <w:szCs w:val="22"/>
        </w:rPr>
        <w:t xml:space="preserve">focus on Kusunoki Masashige. </w:t>
      </w:r>
      <w:r w:rsidRPr="00FD3AD3">
        <w:rPr>
          <w:i/>
          <w:szCs w:val="22"/>
        </w:rPr>
        <w:t>Jinnō shōtōki</w:t>
      </w:r>
      <w:r w:rsidRPr="00FD3AD3">
        <w:rPr>
          <w:szCs w:val="22"/>
        </w:rPr>
        <w:t xml:space="preserve"> of Kitabatake </w:t>
      </w:r>
      <w:r w:rsidRPr="00F13FFF">
        <w:rPr>
          <w:szCs w:val="22"/>
        </w:rPr>
        <w:t>Chikafusa, one of the the oldest accounts of the</w:t>
      </w:r>
      <w:r>
        <w:rPr>
          <w:color w:val="FF0000"/>
          <w:szCs w:val="22"/>
        </w:rPr>
        <w:t xml:space="preserve"> </w:t>
      </w:r>
      <w:r w:rsidRPr="00FD3AD3">
        <w:rPr>
          <w:szCs w:val="22"/>
        </w:rPr>
        <w:t>Southern Court, mentio</w:t>
      </w:r>
      <w:r>
        <w:rPr>
          <w:szCs w:val="22"/>
        </w:rPr>
        <w:t>ns Masashige as fighting</w:t>
      </w:r>
      <w:r w:rsidRPr="00FD3AD3">
        <w:rPr>
          <w:szCs w:val="22"/>
        </w:rPr>
        <w:t xml:space="preserve"> at Chihaya in 1333 and briefly </w:t>
      </w:r>
      <w:r>
        <w:rPr>
          <w:szCs w:val="22"/>
        </w:rPr>
        <w:t>ackowledges</w:t>
      </w:r>
      <w:r w:rsidRPr="00FD3AD3">
        <w:rPr>
          <w:szCs w:val="22"/>
        </w:rPr>
        <w:t xml:space="preserve"> his role in establishing a Sou</w:t>
      </w:r>
      <w:r>
        <w:rPr>
          <w:szCs w:val="22"/>
        </w:rPr>
        <w:t>thern Court presence at Yoshino,</w:t>
      </w:r>
      <w:r w:rsidRPr="00FD3AD3">
        <w:rPr>
          <w:szCs w:val="22"/>
        </w:rPr>
        <w:t xml:space="preserve"> but </w:t>
      </w:r>
      <w:r>
        <w:rPr>
          <w:szCs w:val="22"/>
        </w:rPr>
        <w:t xml:space="preserve">it </w:t>
      </w:r>
      <w:r w:rsidRPr="00FD3AD3">
        <w:rPr>
          <w:szCs w:val="22"/>
        </w:rPr>
        <w:t>omits the battle of Minatogawa and Masashige’s death.</w:t>
      </w:r>
      <w:r w:rsidRPr="00FD3AD3">
        <w:rPr>
          <w:rStyle w:val="FootnoteReference"/>
          <w:szCs w:val="22"/>
        </w:rPr>
        <w:footnoteReference w:id="45"/>
      </w:r>
      <w:r w:rsidRPr="00FD3AD3">
        <w:rPr>
          <w:szCs w:val="22"/>
        </w:rPr>
        <w:t xml:space="preserve"> </w:t>
      </w:r>
      <w:r>
        <w:rPr>
          <w:szCs w:val="22"/>
        </w:rPr>
        <w:t>In contrast</w:t>
      </w:r>
      <w:r w:rsidRPr="00FD3AD3">
        <w:rPr>
          <w:szCs w:val="22"/>
        </w:rPr>
        <w:t>, b</w:t>
      </w:r>
      <w:r>
        <w:rPr>
          <w:szCs w:val="22"/>
        </w:rPr>
        <w:t xml:space="preserve">oth </w:t>
      </w:r>
      <w:r w:rsidRPr="00FD3AD3">
        <w:rPr>
          <w:i/>
          <w:szCs w:val="22"/>
        </w:rPr>
        <w:t xml:space="preserve">Baishōron </w:t>
      </w:r>
      <w:r>
        <w:rPr>
          <w:szCs w:val="22"/>
        </w:rPr>
        <w:t xml:space="preserve">and </w:t>
      </w:r>
      <w:r w:rsidRPr="00FD3AD3">
        <w:rPr>
          <w:i/>
          <w:szCs w:val="22"/>
        </w:rPr>
        <w:t xml:space="preserve">Taiheiki </w:t>
      </w:r>
      <w:r w:rsidRPr="00FD3AD3">
        <w:rPr>
          <w:szCs w:val="22"/>
        </w:rPr>
        <w:t>prai</w:t>
      </w:r>
      <w:r>
        <w:rPr>
          <w:szCs w:val="22"/>
        </w:rPr>
        <w:t>se Masashige extravagantly. T</w:t>
      </w:r>
      <w:r w:rsidRPr="00FD3AD3">
        <w:rPr>
          <w:szCs w:val="22"/>
        </w:rPr>
        <w:t xml:space="preserve">he former </w:t>
      </w:r>
      <w:r>
        <w:rPr>
          <w:szCs w:val="22"/>
        </w:rPr>
        <w:t>portrays him</w:t>
      </w:r>
      <w:r w:rsidRPr="00FD3AD3">
        <w:rPr>
          <w:szCs w:val="22"/>
        </w:rPr>
        <w:t xml:space="preserve"> as a prudent and skilled warrior, while </w:t>
      </w:r>
      <w:r>
        <w:rPr>
          <w:szCs w:val="22"/>
        </w:rPr>
        <w:t>the latter has him so</w:t>
      </w:r>
      <w:r w:rsidRPr="00FD3AD3">
        <w:rPr>
          <w:szCs w:val="22"/>
        </w:rPr>
        <w:t xml:space="preserve"> devoted to the imperial cause that he vows to be rebor</w:t>
      </w:r>
      <w:r>
        <w:rPr>
          <w:szCs w:val="22"/>
        </w:rPr>
        <w:t>n fighting for Go-Daigo</w:t>
      </w:r>
      <w:r w:rsidRPr="00FD3AD3">
        <w:rPr>
          <w:szCs w:val="22"/>
        </w:rPr>
        <w:t xml:space="preserve"> and ultimately becomes a vengeful</w:t>
      </w:r>
      <w:r>
        <w:rPr>
          <w:szCs w:val="22"/>
        </w:rPr>
        <w:t xml:space="preserve"> spirit. This emphasis on Masashige </w:t>
      </w:r>
      <w:r w:rsidRPr="00FD3AD3">
        <w:rPr>
          <w:szCs w:val="22"/>
        </w:rPr>
        <w:t>stems from a perspec</w:t>
      </w:r>
      <w:r>
        <w:rPr>
          <w:szCs w:val="22"/>
        </w:rPr>
        <w:t>tive shared with</w:t>
      </w:r>
      <w:r w:rsidRPr="00FD3AD3">
        <w:rPr>
          <w:szCs w:val="22"/>
        </w:rPr>
        <w:t xml:space="preserve"> </w:t>
      </w:r>
      <w:r w:rsidRPr="00FD3AD3">
        <w:rPr>
          <w:i/>
          <w:szCs w:val="22"/>
        </w:rPr>
        <w:t>Taiheiki</w:t>
      </w:r>
      <w:r w:rsidRPr="00FD3AD3">
        <w:rPr>
          <w:szCs w:val="22"/>
        </w:rPr>
        <w:t xml:space="preserve"> or </w:t>
      </w:r>
      <w:r>
        <w:rPr>
          <w:szCs w:val="22"/>
        </w:rPr>
        <w:t>some other</w:t>
      </w:r>
      <w:r w:rsidRPr="00FD3AD3">
        <w:rPr>
          <w:szCs w:val="22"/>
        </w:rPr>
        <w:t xml:space="preserve"> early </w:t>
      </w:r>
      <w:r>
        <w:rPr>
          <w:szCs w:val="22"/>
        </w:rPr>
        <w:t>source but foreign to Kitabatake Chikafusa.</w:t>
      </w:r>
    </w:p>
    <w:p w14:paraId="4CDC014E" w14:textId="77777777" w:rsidR="00D77CDE" w:rsidRPr="00FD3AD3" w:rsidRDefault="00D77CDE" w:rsidP="00D77CDE">
      <w:pPr>
        <w:spacing w:line="276" w:lineRule="auto"/>
        <w:ind w:firstLine="284"/>
        <w:jc w:val="both"/>
        <w:rPr>
          <w:szCs w:val="22"/>
        </w:rPr>
      </w:pPr>
      <w:r w:rsidRPr="00FD3AD3">
        <w:rPr>
          <w:szCs w:val="22"/>
        </w:rPr>
        <w:t xml:space="preserve">Nevertheless, </w:t>
      </w:r>
      <w:r w:rsidRPr="00FD3AD3">
        <w:rPr>
          <w:i/>
          <w:szCs w:val="22"/>
        </w:rPr>
        <w:t xml:space="preserve">Baishōron </w:t>
      </w:r>
      <w:r w:rsidRPr="00FD3AD3">
        <w:rPr>
          <w:szCs w:val="22"/>
        </w:rPr>
        <w:t xml:space="preserve">shares </w:t>
      </w:r>
      <w:r>
        <w:rPr>
          <w:szCs w:val="22"/>
        </w:rPr>
        <w:t xml:space="preserve">some </w:t>
      </w:r>
      <w:r w:rsidRPr="00FD3AD3">
        <w:rPr>
          <w:szCs w:val="22"/>
        </w:rPr>
        <w:t xml:space="preserve">motifs </w:t>
      </w:r>
      <w:r>
        <w:rPr>
          <w:szCs w:val="22"/>
        </w:rPr>
        <w:t>with</w:t>
      </w:r>
      <w:r w:rsidRPr="00FD3AD3">
        <w:rPr>
          <w:szCs w:val="22"/>
        </w:rPr>
        <w:t xml:space="preserve"> </w:t>
      </w:r>
      <w:r w:rsidRPr="00FD3AD3">
        <w:rPr>
          <w:i/>
          <w:szCs w:val="22"/>
        </w:rPr>
        <w:t>Jinnō shōtōki</w:t>
      </w:r>
      <w:r w:rsidRPr="00FD3AD3">
        <w:rPr>
          <w:szCs w:val="22"/>
        </w:rPr>
        <w:t xml:space="preserve">. Chikafusa </w:t>
      </w:r>
      <w:r>
        <w:rPr>
          <w:szCs w:val="22"/>
        </w:rPr>
        <w:t>argued</w:t>
      </w:r>
      <w:r w:rsidRPr="00FD3AD3">
        <w:rPr>
          <w:szCs w:val="22"/>
        </w:rPr>
        <w:t xml:space="preserve"> </w:t>
      </w:r>
      <w:r>
        <w:rPr>
          <w:szCs w:val="22"/>
        </w:rPr>
        <w:t>that</w:t>
      </w:r>
      <w:r w:rsidRPr="00FD3AD3">
        <w:rPr>
          <w:szCs w:val="22"/>
        </w:rPr>
        <w:t xml:space="preserve"> the Daikakuji </w:t>
      </w:r>
      <w:r>
        <w:rPr>
          <w:szCs w:val="22"/>
        </w:rPr>
        <w:t>line was</w:t>
      </w:r>
      <w:r w:rsidRPr="00FD3AD3">
        <w:rPr>
          <w:szCs w:val="22"/>
        </w:rPr>
        <w:t xml:space="preserve"> Japan’s legitimate lineage (</w:t>
      </w:r>
      <w:r w:rsidRPr="00FD3AD3">
        <w:rPr>
          <w:i/>
          <w:szCs w:val="22"/>
        </w:rPr>
        <w:t>shōtō</w:t>
      </w:r>
      <w:r w:rsidRPr="00FD3AD3">
        <w:rPr>
          <w:szCs w:val="22"/>
        </w:rPr>
        <w:t xml:space="preserve">). </w:t>
      </w:r>
      <w:r w:rsidRPr="00FD3AD3">
        <w:rPr>
          <w:i/>
          <w:szCs w:val="22"/>
        </w:rPr>
        <w:t xml:space="preserve">Baishōron </w:t>
      </w:r>
      <w:r>
        <w:rPr>
          <w:szCs w:val="22"/>
        </w:rPr>
        <w:t>exploits the</w:t>
      </w:r>
      <w:r w:rsidRPr="00FD3AD3">
        <w:rPr>
          <w:szCs w:val="22"/>
        </w:rPr>
        <w:t xml:space="preserve"> same rhetoric, </w:t>
      </w:r>
      <w:r>
        <w:rPr>
          <w:szCs w:val="22"/>
        </w:rPr>
        <w:t xml:space="preserve">in early 1336, to argue that the </w:t>
      </w:r>
      <w:r w:rsidRPr="00FD3AD3">
        <w:rPr>
          <w:szCs w:val="22"/>
        </w:rPr>
        <w:t xml:space="preserve">Jimyōin </w:t>
      </w:r>
      <w:r>
        <w:rPr>
          <w:szCs w:val="22"/>
        </w:rPr>
        <w:t>emperors are legimate. T</w:t>
      </w:r>
      <w:r w:rsidRPr="00FD3AD3">
        <w:rPr>
          <w:szCs w:val="22"/>
        </w:rPr>
        <w:t xml:space="preserve">he </w:t>
      </w:r>
      <w:r>
        <w:rPr>
          <w:szCs w:val="22"/>
        </w:rPr>
        <w:t>ideas</w:t>
      </w:r>
      <w:r w:rsidRPr="00FD3AD3">
        <w:rPr>
          <w:szCs w:val="22"/>
        </w:rPr>
        <w:t xml:space="preserve"> that pervade Kitabatake Chikafusa’s work </w:t>
      </w:r>
      <w:r>
        <w:rPr>
          <w:szCs w:val="22"/>
        </w:rPr>
        <w:t>seem to have been</w:t>
      </w:r>
      <w:r w:rsidRPr="00FD3AD3">
        <w:rPr>
          <w:szCs w:val="22"/>
        </w:rPr>
        <w:t xml:space="preserve"> widely discussed and disseminated, </w:t>
      </w:r>
      <w:r>
        <w:rPr>
          <w:szCs w:val="22"/>
        </w:rPr>
        <w:t>even though in this case</w:t>
      </w:r>
      <w:r w:rsidRPr="00FD3AD3">
        <w:rPr>
          <w:szCs w:val="22"/>
        </w:rPr>
        <w:t xml:space="preserve"> they were applied to the Jimyōin rather than the Daikakuji lineage.</w:t>
      </w:r>
    </w:p>
    <w:p w14:paraId="3485AB84" w14:textId="77777777" w:rsidR="00933F1D" w:rsidRDefault="00933F1D">
      <w:bookmarkStart w:id="0" w:name="_GoBack"/>
      <w:bookmarkEnd w:id="0"/>
    </w:p>
    <w:sectPr w:rsidR="00933F1D" w:rsidSect="00740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37F5" w14:textId="77777777" w:rsidR="00793A7D" w:rsidRDefault="00793A7D" w:rsidP="00D77CDE">
      <w:r>
        <w:separator/>
      </w:r>
    </w:p>
  </w:endnote>
  <w:endnote w:type="continuationSeparator" w:id="0">
    <w:p w14:paraId="35FEA8D2" w14:textId="77777777" w:rsidR="00793A7D" w:rsidRDefault="00793A7D" w:rsidP="00D7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dobe Garamond Pro">
    <w:altName w:val="Garamond"/>
    <w:panose1 w:val="020B0604020202020204"/>
    <w:charset w:val="00"/>
    <w:family w:val="auto"/>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56BF" w14:textId="77777777" w:rsidR="00793A7D" w:rsidRDefault="00793A7D" w:rsidP="00D77CDE">
      <w:r>
        <w:separator/>
      </w:r>
    </w:p>
  </w:footnote>
  <w:footnote w:type="continuationSeparator" w:id="0">
    <w:p w14:paraId="183F6B87" w14:textId="77777777" w:rsidR="00793A7D" w:rsidRDefault="00793A7D" w:rsidP="00D77CDE">
      <w:r>
        <w:continuationSeparator/>
      </w:r>
    </w:p>
  </w:footnote>
  <w:footnote w:id="1">
    <w:p w14:paraId="2F2ADE2F"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Ogawa Makoto found 20 variants among 23 surviving texts, the vast majority copied during the Tokugawa period (1600-1868) but some early ones dating from the fifteenth century. (Ogawa Makoto, “</w:t>
      </w:r>
      <w:r w:rsidRPr="000D4F47">
        <w:rPr>
          <w:i/>
          <w:sz w:val="18"/>
        </w:rPr>
        <w:t>Baishōron</w:t>
      </w:r>
      <w:r>
        <w:rPr>
          <w:sz w:val="18"/>
        </w:rPr>
        <w:t xml:space="preserve"> shohon </w:t>
      </w:r>
      <w:r w:rsidRPr="000D4F47">
        <w:rPr>
          <w:sz w:val="18"/>
        </w:rPr>
        <w:t xml:space="preserve">no kenkyū hosetsu” </w:t>
      </w:r>
      <w:r w:rsidRPr="000D4F47">
        <w:rPr>
          <w:i/>
          <w:sz w:val="18"/>
        </w:rPr>
        <w:t>Kokugakuin zasshi</w:t>
      </w:r>
      <w:r w:rsidRPr="000D4F47">
        <w:rPr>
          <w:sz w:val="18"/>
        </w:rPr>
        <w:t xml:space="preserve"> vol. 80 no. 11 [1966]: 181-98).  </w:t>
      </w:r>
    </w:p>
  </w:footnote>
  <w:footnote w:id="2">
    <w:p w14:paraId="1A9A8A8B"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t>
      </w:r>
      <w:r w:rsidRPr="000D4F47">
        <w:rPr>
          <w:color w:val="000000"/>
          <w:sz w:val="18"/>
        </w:rPr>
        <w:t>Hy</w:t>
      </w:r>
      <w:r w:rsidRPr="000D4F47">
        <w:rPr>
          <w:sz w:val="18"/>
        </w:rPr>
        <w:t>ō</w:t>
      </w:r>
      <w:r w:rsidRPr="000D4F47">
        <w:rPr>
          <w:color w:val="000000"/>
          <w:sz w:val="18"/>
        </w:rPr>
        <w:t>d</w:t>
      </w:r>
      <w:r w:rsidRPr="000D4F47">
        <w:rPr>
          <w:sz w:val="18"/>
        </w:rPr>
        <w:t xml:space="preserve">ō Hiromi, </w:t>
      </w:r>
      <w:r w:rsidRPr="000D4F47">
        <w:rPr>
          <w:i/>
          <w:sz w:val="18"/>
        </w:rPr>
        <w:t>Taiheiki “yomi” no kanōsei</w:t>
      </w:r>
      <w:r w:rsidRPr="000D4F47">
        <w:rPr>
          <w:sz w:val="18"/>
        </w:rPr>
        <w:t xml:space="preserve"> (Kōdansha, 1995), particularly pp. 178–79, and Wakao Masaki, </w:t>
      </w:r>
      <w:r w:rsidRPr="000D4F47">
        <w:rPr>
          <w:i/>
          <w:sz w:val="18"/>
        </w:rPr>
        <w:t>“Taiheiki yomi” no jidai</w:t>
      </w:r>
      <w:r w:rsidRPr="000D4F47">
        <w:rPr>
          <w:sz w:val="18"/>
        </w:rPr>
        <w:t xml:space="preserve"> (Heibonsha, 1999) discuss the significance of this work in the early modern era. </w:t>
      </w:r>
    </w:p>
  </w:footnote>
  <w:footnote w:id="3">
    <w:p w14:paraId="35C1A554"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Yonekura Michio, </w:t>
      </w:r>
      <w:r w:rsidRPr="000D4F47">
        <w:rPr>
          <w:i/>
          <w:sz w:val="18"/>
        </w:rPr>
        <w:t xml:space="preserve">Minamoto Yoritomo zō </w:t>
      </w:r>
      <w:r w:rsidRPr="000D4F47">
        <w:rPr>
          <w:sz w:val="18"/>
        </w:rPr>
        <w:t xml:space="preserve">(Heibonsha, 1995). Yonekura has shown that Tadayoshi’s portrait was long mistaken for Minamoto Yoritomo’s, while Takauji’s was thought to have been Taira no Shigemori’s. A third, of the second shogun, Yoshiakira, was later added to this collection. </w:t>
      </w:r>
    </w:p>
  </w:footnote>
  <w:footnote w:id="4">
    <w:p w14:paraId="60F04F25" w14:textId="77777777" w:rsidR="00D77CDE" w:rsidRPr="00D040B7" w:rsidRDefault="00D77CDE" w:rsidP="00D77CDE">
      <w:pPr>
        <w:pStyle w:val="NoSpacing"/>
        <w:jc w:val="both"/>
        <w:rPr>
          <w:rFonts w:ascii="MS Mincho" w:hAnsi="MS Mincho" w:cs="MS Mincho"/>
          <w:i/>
        </w:rPr>
      </w:pPr>
      <w:r w:rsidRPr="003D057A">
        <w:rPr>
          <w:rStyle w:val="FootnoteReference"/>
        </w:rPr>
        <w:footnoteRef/>
      </w:r>
      <w:r w:rsidRPr="003D057A">
        <w:t xml:space="preserve"> </w:t>
      </w:r>
      <w:r w:rsidRPr="005A7464">
        <w:rPr>
          <w:sz w:val="18"/>
        </w:rPr>
        <w:t xml:space="preserve">A catalogue dating from Ōei 27.11.13 (1420) reveals that Prince Sadafusa possessed the </w:t>
      </w:r>
      <w:r w:rsidRPr="005A7464">
        <w:rPr>
          <w:i/>
          <w:sz w:val="18"/>
        </w:rPr>
        <w:t xml:space="preserve">Baishōron </w:t>
      </w:r>
      <w:r w:rsidRPr="005A7464">
        <w:rPr>
          <w:sz w:val="18"/>
        </w:rPr>
        <w:t xml:space="preserve">along with texts such as </w:t>
      </w:r>
      <w:r w:rsidRPr="005A7464">
        <w:rPr>
          <w:i/>
          <w:sz w:val="18"/>
        </w:rPr>
        <w:t xml:space="preserve">Heiki, </w:t>
      </w:r>
      <w:r w:rsidRPr="005A7464">
        <w:rPr>
          <w:sz w:val="18"/>
        </w:rPr>
        <w:t xml:space="preserve">the </w:t>
      </w:r>
      <w:r w:rsidRPr="005A7464">
        <w:rPr>
          <w:i/>
          <w:sz w:val="18"/>
        </w:rPr>
        <w:t>Hōgen monogatari, Heiji monogatari, Jōky</w:t>
      </w:r>
      <w:r w:rsidRPr="005A7464">
        <w:rPr>
          <w:rFonts w:cs="Times"/>
          <w:i/>
          <w:sz w:val="18"/>
        </w:rPr>
        <w:t>ū</w:t>
      </w:r>
      <w:r w:rsidRPr="005A7464">
        <w:rPr>
          <w:i/>
          <w:sz w:val="18"/>
        </w:rPr>
        <w:t xml:space="preserve"> monogatari, </w:t>
      </w:r>
      <w:r w:rsidRPr="005A7464">
        <w:rPr>
          <w:sz w:val="18"/>
        </w:rPr>
        <w:t>and</w:t>
      </w:r>
      <w:r w:rsidRPr="005A7464">
        <w:rPr>
          <w:i/>
          <w:sz w:val="18"/>
        </w:rPr>
        <w:t xml:space="preserve"> Taiheiki. </w:t>
      </w:r>
      <w:r w:rsidRPr="005A7464">
        <w:rPr>
          <w:sz w:val="18"/>
        </w:rPr>
        <w:t xml:space="preserve">See </w:t>
      </w:r>
      <w:r w:rsidRPr="005A7464">
        <w:rPr>
          <w:rFonts w:cs="Arial"/>
          <w:color w:val="262623"/>
          <w:sz w:val="18"/>
        </w:rPr>
        <w:t>Kunaich</w:t>
      </w:r>
      <w:r w:rsidRPr="005A7464">
        <w:rPr>
          <w:sz w:val="18"/>
        </w:rPr>
        <w:t>ō</w:t>
      </w:r>
      <w:r w:rsidRPr="005A7464">
        <w:rPr>
          <w:rFonts w:cs="Arial"/>
          <w:color w:val="262623"/>
          <w:sz w:val="18"/>
        </w:rPr>
        <w:t xml:space="preserve"> Shory</w:t>
      </w:r>
      <w:r w:rsidRPr="005A7464">
        <w:rPr>
          <w:sz w:val="18"/>
        </w:rPr>
        <w:t>ō</w:t>
      </w:r>
      <w:r w:rsidRPr="005A7464">
        <w:rPr>
          <w:rFonts w:cs="Arial"/>
          <w:color w:val="262623"/>
          <w:sz w:val="18"/>
        </w:rPr>
        <w:t>bu hen,</w:t>
      </w:r>
      <w:r w:rsidRPr="005A7464">
        <w:rPr>
          <w:i/>
          <w:sz w:val="18"/>
        </w:rPr>
        <w:t xml:space="preserve"> </w:t>
      </w:r>
      <w:r w:rsidRPr="005A7464">
        <w:rPr>
          <w:rFonts w:cs="Arial"/>
          <w:i/>
          <w:color w:val="262623"/>
          <w:sz w:val="18"/>
        </w:rPr>
        <w:t xml:space="preserve">Kanmon </w:t>
      </w:r>
      <w:r>
        <w:rPr>
          <w:rFonts w:cs="Arial"/>
          <w:i/>
          <w:color w:val="262623"/>
          <w:sz w:val="18"/>
        </w:rPr>
        <w:t>nikki shihai monjo</w:t>
      </w:r>
      <w:r w:rsidRPr="005A7464">
        <w:rPr>
          <w:rFonts w:cs="Arial"/>
          <w:i/>
          <w:color w:val="262623"/>
          <w:sz w:val="18"/>
        </w:rPr>
        <w:t>; Kanmon nikki bekki</w:t>
      </w:r>
      <w:r w:rsidRPr="005A7464">
        <w:rPr>
          <w:rFonts w:cs="Arial"/>
          <w:color w:val="262623"/>
          <w:sz w:val="18"/>
        </w:rPr>
        <w:t xml:space="preserve"> (Tenri: Y</w:t>
      </w:r>
      <w:r w:rsidRPr="005A7464">
        <w:rPr>
          <w:sz w:val="18"/>
        </w:rPr>
        <w:t>ō</w:t>
      </w:r>
      <w:r w:rsidRPr="005A7464">
        <w:rPr>
          <w:rFonts w:cs="Arial"/>
          <w:color w:val="262623"/>
          <w:sz w:val="18"/>
        </w:rPr>
        <w:t>tokusha, 1965)</w:t>
      </w:r>
      <w:r w:rsidRPr="005A7464">
        <w:rPr>
          <w:sz w:val="18"/>
        </w:rPr>
        <w:t>, doc. 149, Ōei 27.11.13 Monogatari mokuroku, pp. 219-21 (273-74). This was first noted by Ichizawa Tetsu, “</w:t>
      </w:r>
      <w:r w:rsidRPr="005A7464">
        <w:rPr>
          <w:i/>
          <w:sz w:val="18"/>
        </w:rPr>
        <w:t xml:space="preserve">Baishōron </w:t>
      </w:r>
      <w:r w:rsidRPr="005A7464">
        <w:rPr>
          <w:sz w:val="18"/>
        </w:rPr>
        <w:t>ni okeru Kenmu sannen Ashikaga Takauji seisō no ichi-mō hitotsu no Tatarahama kassen Minatogawa kassen,”</w:t>
      </w:r>
      <w:r w:rsidRPr="005A7464">
        <w:rPr>
          <w:i/>
          <w:sz w:val="18"/>
        </w:rPr>
        <w:t>Kōbe daigaku shigaku nenpō</w:t>
      </w:r>
      <w:r w:rsidRPr="005A7464">
        <w:rPr>
          <w:sz w:val="18"/>
        </w:rPr>
        <w:t xml:space="preserve"> 16 (2001): 104-24.</w:t>
      </w:r>
      <w:r>
        <w:t xml:space="preserve">  </w:t>
      </w:r>
    </w:p>
  </w:footnote>
  <w:footnote w:id="5">
    <w:p w14:paraId="7E193127" w14:textId="77777777" w:rsidR="00D77CDE" w:rsidRPr="005A7464" w:rsidRDefault="00D77CDE" w:rsidP="00D77CDE">
      <w:pPr>
        <w:pStyle w:val="NoSpacing"/>
        <w:jc w:val="both"/>
        <w:rPr>
          <w:rStyle w:val="NoSpacingChar"/>
          <w:sz w:val="18"/>
        </w:rPr>
      </w:pPr>
      <w:r w:rsidRPr="001056F6">
        <w:rPr>
          <w:rStyle w:val="FootnoteReference"/>
        </w:rPr>
        <w:footnoteRef/>
      </w:r>
      <w:r w:rsidRPr="001056F6">
        <w:t xml:space="preserve"> </w:t>
      </w:r>
      <w:r w:rsidRPr="005A7464">
        <w:rPr>
          <w:sz w:val="18"/>
        </w:rPr>
        <w:t>A 1466 (</w:t>
      </w:r>
      <w:r w:rsidRPr="005A7464">
        <w:rPr>
          <w:rStyle w:val="NoSpacingChar"/>
          <w:sz w:val="18"/>
        </w:rPr>
        <w:t xml:space="preserve">Kanshō 7) copy of the latter half of </w:t>
      </w:r>
      <w:r w:rsidRPr="000D690F">
        <w:rPr>
          <w:rStyle w:val="NoSpacingChar"/>
          <w:i/>
          <w:sz w:val="18"/>
        </w:rPr>
        <w:t>Baishōron</w:t>
      </w:r>
      <w:r w:rsidRPr="005A7464">
        <w:rPr>
          <w:rStyle w:val="NoSpacingChar"/>
          <w:sz w:val="18"/>
        </w:rPr>
        <w:t xml:space="preserve"> is the oldest datable version, while the </w:t>
      </w:r>
      <w:r w:rsidRPr="000D690F">
        <w:rPr>
          <w:rStyle w:val="NoSpacingChar"/>
          <w:i/>
          <w:sz w:val="18"/>
        </w:rPr>
        <w:t>Kyōdaibon</w:t>
      </w:r>
      <w:r w:rsidRPr="005A7464">
        <w:rPr>
          <w:rStyle w:val="NoSpacingChar"/>
          <w:sz w:val="18"/>
        </w:rPr>
        <w:t xml:space="preserve">, copied in the sixth month of Bunmei 2 (1470), is the oldest verifiable complete text. See Yashiro et al., eds, “Kaidai,” Baishōron, p. 17 for the date of the </w:t>
      </w:r>
      <w:r w:rsidRPr="000D690F">
        <w:rPr>
          <w:rStyle w:val="NoSpacingChar"/>
          <w:i/>
          <w:sz w:val="18"/>
        </w:rPr>
        <w:t>Kyōdaibon</w:t>
      </w:r>
      <w:r w:rsidRPr="005A7464">
        <w:rPr>
          <w:rStyle w:val="NoSpacingChar"/>
          <w:sz w:val="18"/>
        </w:rPr>
        <w:t>. The Tenri version has an earlier date of 1442, but this date appears to have been written in later. For the most detailed analysis, see Takahashi Sadaichi, “Kyōdaibon Baishōron kaisetsu,”</w:t>
      </w:r>
      <w:r w:rsidRPr="000D690F">
        <w:rPr>
          <w:rStyle w:val="NoSpacingChar"/>
          <w:i/>
          <w:sz w:val="18"/>
        </w:rPr>
        <w:t>Kokugo kokubun</w:t>
      </w:r>
      <w:r>
        <w:rPr>
          <w:rStyle w:val="NoSpacingChar"/>
          <w:sz w:val="18"/>
        </w:rPr>
        <w:t>,</w:t>
      </w:r>
      <w:r w:rsidRPr="005A7464">
        <w:rPr>
          <w:rStyle w:val="NoSpacingChar"/>
          <w:sz w:val="18"/>
        </w:rPr>
        <w:t xml:space="preserve"> vol. 33, no. 8, pp. 1-6.</w:t>
      </w:r>
    </w:p>
  </w:footnote>
  <w:footnote w:id="6">
    <w:p w14:paraId="277FA8E5" w14:textId="77777777" w:rsidR="00D77CDE" w:rsidRPr="000D4F47" w:rsidRDefault="00D77CDE" w:rsidP="00D77CDE">
      <w:pPr>
        <w:pStyle w:val="NoSpacing"/>
        <w:jc w:val="both"/>
      </w:pPr>
      <w:r w:rsidRPr="000D4F47">
        <w:rPr>
          <w:rStyle w:val="FootnoteReference"/>
        </w:rPr>
        <w:footnoteRef/>
      </w:r>
      <w:r w:rsidRPr="000D4F47">
        <w:t xml:space="preserve"> </w:t>
      </w:r>
      <w:r w:rsidRPr="005A7464">
        <w:rPr>
          <w:sz w:val="18"/>
        </w:rPr>
        <w:t xml:space="preserve">They nevertheless included it because of its references to the Southern Court. See </w:t>
      </w:r>
      <w:r w:rsidRPr="005A7464">
        <w:rPr>
          <w:i/>
          <w:sz w:val="18"/>
        </w:rPr>
        <w:t>Sankō Taiheiki</w:t>
      </w:r>
      <w:r w:rsidRPr="005A7464">
        <w:rPr>
          <w:sz w:val="18"/>
        </w:rPr>
        <w:t>, p. 2 and Kama Kisaburō, “</w:t>
      </w:r>
      <w:r w:rsidRPr="005A7464">
        <w:rPr>
          <w:i/>
          <w:sz w:val="18"/>
        </w:rPr>
        <w:t>Taiheiki</w:t>
      </w:r>
      <w:r w:rsidRPr="005A7464">
        <w:rPr>
          <w:sz w:val="18"/>
        </w:rPr>
        <w:t xml:space="preserve"> to shijitsu tsukete </w:t>
      </w:r>
      <w:r w:rsidRPr="005A7464">
        <w:rPr>
          <w:i/>
          <w:sz w:val="18"/>
        </w:rPr>
        <w:t xml:space="preserve">Kanshōbon Baishōron </w:t>
      </w:r>
      <w:r w:rsidRPr="005A7464">
        <w:rPr>
          <w:sz w:val="18"/>
        </w:rPr>
        <w:t>no koto</w:t>
      </w:r>
      <w:r w:rsidRPr="005A7464">
        <w:rPr>
          <w:i/>
          <w:sz w:val="18"/>
        </w:rPr>
        <w:t xml:space="preserve">,” Kokubungaku </w:t>
      </w:r>
      <w:r w:rsidRPr="005A7464">
        <w:rPr>
          <w:sz w:val="18"/>
        </w:rPr>
        <w:t xml:space="preserve">11-2 (2.1966): 52-59, p. 59. Kama also mentions that the 1466 manuscript of </w:t>
      </w:r>
      <w:r w:rsidRPr="005A7464">
        <w:rPr>
          <w:i/>
          <w:sz w:val="18"/>
        </w:rPr>
        <w:t>Baishōron</w:t>
      </w:r>
      <w:r w:rsidRPr="005A7464">
        <w:rPr>
          <w:sz w:val="18"/>
        </w:rPr>
        <w:t xml:space="preserve"> was not discovered until after this work was compiled.</w:t>
      </w:r>
      <w:r w:rsidRPr="000D4F47">
        <w:t xml:space="preserve"> </w:t>
      </w:r>
    </w:p>
  </w:footnote>
  <w:footnote w:id="7">
    <w:p w14:paraId="677F1941"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Suga Masatomo, “Taiheki no byōmō iro</w:t>
      </w:r>
      <w:r w:rsidRPr="000D4F47">
        <w:rPr>
          <w:color w:val="FF0000"/>
          <w:sz w:val="18"/>
        </w:rPr>
        <w:t xml:space="preserve"> </w:t>
      </w:r>
      <w:r w:rsidRPr="000D4F47">
        <w:rPr>
          <w:sz w:val="18"/>
        </w:rPr>
        <w:t xml:space="preserve">ōki koto o bensu,” </w:t>
      </w:r>
      <w:r w:rsidRPr="000D4F47">
        <w:rPr>
          <w:i/>
          <w:sz w:val="18"/>
        </w:rPr>
        <w:t xml:space="preserve">Shigaku zasshi, </w:t>
      </w:r>
      <w:r w:rsidRPr="000D4F47">
        <w:rPr>
          <w:sz w:val="18"/>
        </w:rPr>
        <w:t xml:space="preserve">1, no. 3, p. 28-34 (1890) and no. 4, pp. 38-46 (1890). Suga first quoted </w:t>
      </w:r>
      <w:r w:rsidRPr="000D4F47">
        <w:rPr>
          <w:i/>
          <w:sz w:val="18"/>
        </w:rPr>
        <w:t xml:space="preserve">Baishōron </w:t>
      </w:r>
      <w:r w:rsidRPr="000D4F47">
        <w:rPr>
          <w:sz w:val="18"/>
        </w:rPr>
        <w:t xml:space="preserve">in vol. 3, pp. 33-34. </w:t>
      </w:r>
      <w:r w:rsidRPr="000D4F47">
        <w:rPr>
          <w:i/>
          <w:sz w:val="18"/>
        </w:rPr>
        <w:t xml:space="preserve"> </w:t>
      </w:r>
      <w:r w:rsidRPr="000D4F47">
        <w:rPr>
          <w:sz w:val="18"/>
        </w:rPr>
        <w:t xml:space="preserve">His work was overshadowed by the more famous critique of </w:t>
      </w:r>
      <w:r w:rsidRPr="000D4F47">
        <w:rPr>
          <w:i/>
          <w:sz w:val="18"/>
        </w:rPr>
        <w:t>Taiheiki,</w:t>
      </w:r>
      <w:r w:rsidRPr="000D4F47">
        <w:rPr>
          <w:sz w:val="18"/>
        </w:rPr>
        <w:t xml:space="preserve"> the following year, by Kume Kunitake of the Tōkyō Daigaku Shiryō Hensanjo. Kume famously described </w:t>
      </w:r>
      <w:r w:rsidRPr="000D4F47">
        <w:rPr>
          <w:i/>
          <w:sz w:val="18"/>
        </w:rPr>
        <w:t>Taiheiki</w:t>
      </w:r>
      <w:r w:rsidRPr="000D4F47">
        <w:rPr>
          <w:sz w:val="18"/>
        </w:rPr>
        <w:t xml:space="preserve"> as “worthless” as a historical source. (Kume Kunitake “Taiheiki wa shigaku ni eki nashi.” </w:t>
      </w:r>
      <w:r w:rsidRPr="000D4F47">
        <w:rPr>
          <w:i/>
          <w:sz w:val="18"/>
        </w:rPr>
        <w:t xml:space="preserve">Shigaku zasshi </w:t>
      </w:r>
      <w:r w:rsidRPr="000D4F47">
        <w:rPr>
          <w:sz w:val="18"/>
        </w:rPr>
        <w:t xml:space="preserve">2 no. 17, 18, 20, 22 [1891].) For an overview of the work’s shortcomings see Conlan, </w:t>
      </w:r>
      <w:r w:rsidRPr="000D4F47">
        <w:rPr>
          <w:i/>
          <w:sz w:val="18"/>
        </w:rPr>
        <w:t>From Sovereign to Symbol</w:t>
      </w:r>
      <w:r w:rsidRPr="000D4F47">
        <w:rPr>
          <w:sz w:val="18"/>
        </w:rPr>
        <w:t xml:space="preserve"> (New York: Oxford University Press, 2011), pp. 9-13.</w:t>
      </w:r>
    </w:p>
  </w:footnote>
  <w:footnote w:id="8">
    <w:p w14:paraId="11F8B812"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Suga Masatomo, “</w:t>
      </w:r>
      <w:r w:rsidRPr="000D4F47">
        <w:rPr>
          <w:i/>
          <w:sz w:val="18"/>
        </w:rPr>
        <w:t xml:space="preserve">Baishōron </w:t>
      </w:r>
      <w:r w:rsidRPr="000D4F47">
        <w:rPr>
          <w:sz w:val="18"/>
        </w:rPr>
        <w:t xml:space="preserve">kō,” </w:t>
      </w:r>
      <w:r w:rsidRPr="000D4F47">
        <w:rPr>
          <w:i/>
          <w:sz w:val="18"/>
        </w:rPr>
        <w:t xml:space="preserve">Shigaku zasshi </w:t>
      </w:r>
      <w:r w:rsidRPr="000D4F47">
        <w:rPr>
          <w:sz w:val="18"/>
        </w:rPr>
        <w:t xml:space="preserve">1, no. 4 (1890): 61-65 and vol. 5 no. 1 (1894): 44-48. </w:t>
      </w:r>
    </w:p>
  </w:footnote>
  <w:footnote w:id="9">
    <w:p w14:paraId="0DBA3BC5"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The prominence accorded </w:t>
      </w:r>
      <w:r w:rsidRPr="000D4F47">
        <w:rPr>
          <w:i/>
          <w:sz w:val="18"/>
        </w:rPr>
        <w:t xml:space="preserve">Taiheiki </w:t>
      </w:r>
      <w:r>
        <w:rPr>
          <w:sz w:val="18"/>
        </w:rPr>
        <w:t>is</w:t>
      </w:r>
      <w:r w:rsidRPr="000D4F47">
        <w:rPr>
          <w:sz w:val="18"/>
        </w:rPr>
        <w:t xml:space="preserve"> surprising, since scholars such as Suga and Kume had questioned its accuracy. Miura Shūkō and Tanaka Yoshinari admitted that </w:t>
      </w:r>
      <w:r w:rsidRPr="000D4F47">
        <w:rPr>
          <w:i/>
          <w:sz w:val="18"/>
        </w:rPr>
        <w:t>Taiheiki</w:t>
      </w:r>
      <w:r w:rsidRPr="000D4F47">
        <w:rPr>
          <w:sz w:val="18"/>
        </w:rPr>
        <w:t xml:space="preserve"> contained errors but still felt that it was essential for study of the age. For an overview of Miura’s arguments, see Mori Shigeaki, </w:t>
      </w:r>
      <w:r w:rsidRPr="000D4F47">
        <w:rPr>
          <w:i/>
          <w:sz w:val="18"/>
        </w:rPr>
        <w:t xml:space="preserve">Taiheiki no gunzō </w:t>
      </w:r>
      <w:r w:rsidRPr="000D4F47">
        <w:rPr>
          <w:sz w:val="18"/>
        </w:rPr>
        <w:t xml:space="preserve">(Kadokawa, 1991), p. 306.  </w:t>
      </w:r>
    </w:p>
  </w:footnote>
  <w:footnote w:id="10">
    <w:p w14:paraId="3C93B501"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t>
      </w:r>
      <w:r w:rsidRPr="000D4F47">
        <w:rPr>
          <w:i/>
          <w:sz w:val="18"/>
        </w:rPr>
        <w:t>Dainihon shiryō</w:t>
      </w:r>
      <w:r w:rsidRPr="000D4F47">
        <w:rPr>
          <w:sz w:val="18"/>
        </w:rPr>
        <w:t xml:space="preserve"> (hereafter DNSR)</w:t>
      </w:r>
      <w:r w:rsidRPr="000D4F47">
        <w:rPr>
          <w:i/>
          <w:sz w:val="18"/>
        </w:rPr>
        <w:t xml:space="preserve"> </w:t>
      </w:r>
      <w:r w:rsidRPr="000D4F47">
        <w:rPr>
          <w:sz w:val="18"/>
        </w:rPr>
        <w:t xml:space="preserve">Series 6 no. 1 (1901), pp. 1 and 61. </w:t>
      </w:r>
    </w:p>
  </w:footnote>
  <w:footnote w:id="11">
    <w:p w14:paraId="0993C94C"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DNSR 6.3 (1903), pp. 133-139-46 for Tadarahama and pp. 409-15, 452 for Minatogawa. </w:t>
      </w:r>
    </w:p>
  </w:footnote>
  <w:footnote w:id="12">
    <w:p w14:paraId="059E2B99"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Fujimoto Masayuki first made this important observation in his, </w:t>
      </w:r>
      <w:r w:rsidRPr="000D4F47">
        <w:rPr>
          <w:i/>
          <w:sz w:val="18"/>
        </w:rPr>
        <w:t xml:space="preserve">Yoroi o matou hitobito </w:t>
      </w:r>
      <w:r w:rsidRPr="000D4F47">
        <w:rPr>
          <w:sz w:val="18"/>
        </w:rPr>
        <w:t xml:space="preserve">(Yoshikawa Kōbunkan, 2000), pp. 179-83. </w:t>
      </w:r>
    </w:p>
  </w:footnote>
  <w:footnote w:id="13">
    <w:p w14:paraId="1FFB4EE5"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Fujimoto, </w:t>
      </w:r>
      <w:r w:rsidRPr="000D4F47">
        <w:rPr>
          <w:i/>
          <w:sz w:val="18"/>
        </w:rPr>
        <w:t>ibid</w:t>
      </w:r>
      <w:r w:rsidRPr="000D4F47">
        <w:rPr>
          <w:sz w:val="18"/>
        </w:rPr>
        <w:t xml:space="preserve">., pp. 181-83. </w:t>
      </w:r>
    </w:p>
  </w:footnote>
  <w:footnote w:id="14">
    <w:p w14:paraId="070E7785"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The only comparable work would be the Mongol invasion scrolls (</w:t>
      </w:r>
      <w:r w:rsidRPr="000D4F47">
        <w:rPr>
          <w:i/>
          <w:sz w:val="18"/>
        </w:rPr>
        <w:t>Mōko shūrai ekotoba</w:t>
      </w:r>
      <w:r w:rsidRPr="000D4F47">
        <w:rPr>
          <w:sz w:val="18"/>
        </w:rPr>
        <w:t xml:space="preserve">), which consists of Takezaki Suenaga’s narrative of battle. </w:t>
      </w:r>
    </w:p>
  </w:footnote>
  <w:footnote w:id="15">
    <w:p w14:paraId="510BD200"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Takeuchi Rizō, comp., </w:t>
      </w:r>
      <w:r w:rsidRPr="000D4F47">
        <w:rPr>
          <w:i/>
          <w:sz w:val="18"/>
        </w:rPr>
        <w:t>Kamakura ibun</w:t>
      </w:r>
      <w:r w:rsidRPr="000D4F47">
        <w:rPr>
          <w:sz w:val="18"/>
        </w:rPr>
        <w:t xml:space="preserve"> (hereafter KI)</w:t>
      </w:r>
      <w:r w:rsidRPr="000D4F47">
        <w:rPr>
          <w:i/>
          <w:sz w:val="18"/>
        </w:rPr>
        <w:t xml:space="preserve"> </w:t>
      </w:r>
      <w:r>
        <w:rPr>
          <w:sz w:val="18"/>
        </w:rPr>
        <w:t>(42 vols.,</w:t>
      </w:r>
      <w:r w:rsidRPr="000D4F47">
        <w:rPr>
          <w:sz w:val="18"/>
        </w:rPr>
        <w:t xml:space="preserve"> Tōkyōdō shuppan, 1971-91)</w:t>
      </w:r>
      <w:r w:rsidRPr="000D4F47">
        <w:rPr>
          <w:i/>
          <w:sz w:val="18"/>
        </w:rPr>
        <w:t xml:space="preserve">, </w:t>
      </w:r>
      <w:r w:rsidRPr="000D4F47">
        <w:rPr>
          <w:sz w:val="18"/>
        </w:rPr>
        <w:t>vol. 41, docs. 32109-14, pp. 243-44 for Takauji’s mobilization orders  of 1333 (Genkō 3).4.27.</w:t>
      </w:r>
    </w:p>
  </w:footnote>
  <w:footnote w:id="16">
    <w:p w14:paraId="4D843C0A"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Washio Junkei, ed. </w:t>
      </w:r>
      <w:r w:rsidRPr="000D4F47">
        <w:rPr>
          <w:i/>
          <w:sz w:val="18"/>
        </w:rPr>
        <w:t xml:space="preserve">Taiheiki </w:t>
      </w:r>
      <w:r w:rsidRPr="000D4F47">
        <w:rPr>
          <w:sz w:val="18"/>
        </w:rPr>
        <w:t>(</w:t>
      </w:r>
      <w:r w:rsidRPr="000D4F47">
        <w:rPr>
          <w:i/>
          <w:sz w:val="18"/>
        </w:rPr>
        <w:t>Seigen’in bon</w:t>
      </w:r>
      <w:r w:rsidRPr="000D4F47">
        <w:rPr>
          <w:sz w:val="18"/>
        </w:rPr>
        <w:t xml:space="preserve">) (Tōkō shoin, 1936), maki 9, “Gogatsu nanoka kassen no koto onajiku Rokuhara ochiru koto,” particularly pp. 212-18. Similar variation appears in the </w:t>
      </w:r>
      <w:r w:rsidRPr="000D4F47">
        <w:rPr>
          <w:i/>
          <w:sz w:val="18"/>
        </w:rPr>
        <w:t>Kandabon</w:t>
      </w:r>
      <w:r w:rsidRPr="000D4F47">
        <w:rPr>
          <w:sz w:val="18"/>
        </w:rPr>
        <w:t xml:space="preserve"> version. See </w:t>
      </w:r>
      <w:r w:rsidRPr="000D4F47">
        <w:rPr>
          <w:i/>
          <w:sz w:val="18"/>
        </w:rPr>
        <w:t xml:space="preserve">Taiheiki (Kandabon) </w:t>
      </w:r>
      <w:r w:rsidRPr="000D4F47">
        <w:rPr>
          <w:sz w:val="18"/>
        </w:rPr>
        <w:t xml:space="preserve">(Kokusho Kankōkai, 1907), maki 9, “Gogatsu nanoka miyako kassen no koto,” pp. 90-110 (hereafter </w:t>
      </w:r>
      <w:r w:rsidRPr="000D4F47">
        <w:rPr>
          <w:i/>
          <w:sz w:val="18"/>
        </w:rPr>
        <w:t>Kandabon Taiheiki</w:t>
      </w:r>
      <w:r w:rsidRPr="000D4F47">
        <w:rPr>
          <w:sz w:val="18"/>
        </w:rPr>
        <w:t xml:space="preserve">). </w:t>
      </w:r>
    </w:p>
  </w:footnote>
  <w:footnote w:id="17">
    <w:p w14:paraId="65003701"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Comparison of the </w:t>
      </w:r>
      <w:r w:rsidRPr="000D4F47">
        <w:rPr>
          <w:i/>
          <w:sz w:val="18"/>
        </w:rPr>
        <w:t>Baishōron</w:t>
      </w:r>
      <w:r>
        <w:rPr>
          <w:sz w:val="18"/>
        </w:rPr>
        <w:t xml:space="preserve"> narrative with</w:t>
      </w:r>
      <w:r w:rsidRPr="000D4F47">
        <w:rPr>
          <w:sz w:val="18"/>
        </w:rPr>
        <w:t xml:space="preserve"> the petition of Nomoto Tomoyuki reveals </w:t>
      </w:r>
      <w:r>
        <w:rPr>
          <w:sz w:val="18"/>
        </w:rPr>
        <w:t>the narrative’s</w:t>
      </w:r>
      <w:r w:rsidRPr="000D4F47">
        <w:rPr>
          <w:sz w:val="18"/>
        </w:rPr>
        <w:t xml:space="preserve"> fundamental accuracy. For the Nomoto document, see Conlan, </w:t>
      </w:r>
      <w:r w:rsidRPr="000D4F47">
        <w:rPr>
          <w:i/>
          <w:sz w:val="18"/>
        </w:rPr>
        <w:t xml:space="preserve">State of War: The Violent Order of Fourteenth Century Japan </w:t>
      </w:r>
      <w:r w:rsidRPr="000D4F47">
        <w:rPr>
          <w:sz w:val="18"/>
        </w:rPr>
        <w:t xml:space="preserve">(Ann Arbor: Center for Japanese Studies, 2003), pp. 12-47. For further analysis, see Takeda Masanori, “‘Taiheiki’ Hakone Takenoshita kassen kō: </w:t>
      </w:r>
      <w:r w:rsidRPr="000D4F47">
        <w:rPr>
          <w:i/>
          <w:sz w:val="18"/>
        </w:rPr>
        <w:t xml:space="preserve">Taiheiki </w:t>
      </w:r>
      <w:r w:rsidRPr="000D4F47">
        <w:rPr>
          <w:sz w:val="18"/>
        </w:rPr>
        <w:t>to</w:t>
      </w:r>
      <w:r w:rsidRPr="000D4F47">
        <w:rPr>
          <w:i/>
          <w:sz w:val="18"/>
        </w:rPr>
        <w:t xml:space="preserve"> Baishōron,” Ibarajō kokubun 6</w:t>
      </w:r>
      <w:r w:rsidRPr="000D4F47">
        <w:rPr>
          <w:sz w:val="18"/>
        </w:rPr>
        <w:t xml:space="preserve"> (3.1994). Takeda showed the impossibility of the </w:t>
      </w:r>
      <w:r w:rsidRPr="000D4F47">
        <w:rPr>
          <w:i/>
          <w:sz w:val="18"/>
        </w:rPr>
        <w:t xml:space="preserve">Taiheiki </w:t>
      </w:r>
      <w:r w:rsidRPr="000D4F47">
        <w:rPr>
          <w:sz w:val="18"/>
        </w:rPr>
        <w:t>account</w:t>
      </w:r>
      <w:r w:rsidRPr="000D4F47">
        <w:rPr>
          <w:i/>
          <w:sz w:val="18"/>
        </w:rPr>
        <w:t xml:space="preserve"> </w:t>
      </w:r>
      <w:r w:rsidRPr="000D4F47">
        <w:rPr>
          <w:sz w:val="18"/>
        </w:rPr>
        <w:t xml:space="preserve">and the fundamental accuracy of </w:t>
      </w:r>
      <w:r w:rsidRPr="000D4F47">
        <w:rPr>
          <w:i/>
          <w:sz w:val="18"/>
        </w:rPr>
        <w:t xml:space="preserve">Baishōron. </w:t>
      </w:r>
    </w:p>
  </w:footnote>
  <w:footnote w:id="18">
    <w:p w14:paraId="544B065E"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Compare the narrative with Seno Seiichirō, comp., </w:t>
      </w:r>
      <w:r w:rsidRPr="000D4F47">
        <w:rPr>
          <w:i/>
          <w:sz w:val="18"/>
        </w:rPr>
        <w:t xml:space="preserve">Nanbokuchō ibun Kyushu hen </w:t>
      </w:r>
      <w:r w:rsidRPr="000D4F47">
        <w:rPr>
          <w:sz w:val="18"/>
        </w:rPr>
        <w:t>(hereafter NBIK), (7 vols. Tōkyōdō Shuppan, 1980-92), vol. 1, doc.</w:t>
      </w:r>
      <w:r w:rsidRPr="000D4F47">
        <w:rPr>
          <w:i/>
          <w:sz w:val="18"/>
        </w:rPr>
        <w:t xml:space="preserve"> </w:t>
      </w:r>
      <w:r w:rsidRPr="000D4F47">
        <w:rPr>
          <w:sz w:val="18"/>
        </w:rPr>
        <w:t xml:space="preserve">616, 5.25.1336 Ashikaga Takauji kakikudashi an, p. 193. </w:t>
      </w:r>
    </w:p>
  </w:footnote>
  <w:footnote w:id="19">
    <w:p w14:paraId="5D40184B"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t>
      </w:r>
      <w:r w:rsidRPr="000D4F47">
        <w:rPr>
          <w:i/>
          <w:sz w:val="18"/>
        </w:rPr>
        <w:t xml:space="preserve">NBIK </w:t>
      </w:r>
      <w:r w:rsidRPr="000D4F47">
        <w:rPr>
          <w:sz w:val="18"/>
        </w:rPr>
        <w:t xml:space="preserve">vol. 1, doc. 417, 2.15 Ashikaga Takauji shojō an, p. 144 and doc. 418, Kenmu 3.2.17 (1336) Ashikaga Takauji gunzei saisokujō, p. 145. </w:t>
      </w:r>
    </w:p>
  </w:footnote>
  <w:footnote w:id="20">
    <w:p w14:paraId="7EF0CE68"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See the </w:t>
      </w:r>
      <w:r w:rsidRPr="00280B85">
        <w:rPr>
          <w:i/>
          <w:color w:val="FF0000"/>
          <w:sz w:val="18"/>
        </w:rPr>
        <w:t>Kandabon Taiheiki</w:t>
      </w:r>
      <w:r w:rsidRPr="00280B85">
        <w:rPr>
          <w:color w:val="FF0000"/>
          <w:sz w:val="18"/>
        </w:rPr>
        <w:t>,</w:t>
      </w:r>
      <w:r w:rsidRPr="000D4F47">
        <w:rPr>
          <w:sz w:val="18"/>
        </w:rPr>
        <w:t xml:space="preserve"> maki 9, “Shōgun kairiku yori semenoboru koto,” p. 230.   </w:t>
      </w:r>
    </w:p>
  </w:footnote>
  <w:footnote w:id="21">
    <w:p w14:paraId="772B71D3"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See Conlan, </w:t>
      </w:r>
      <w:r w:rsidRPr="000D4F47">
        <w:rPr>
          <w:i/>
          <w:sz w:val="18"/>
        </w:rPr>
        <w:t>State of War,</w:t>
      </w:r>
      <w:r w:rsidRPr="000D4F47">
        <w:rPr>
          <w:sz w:val="18"/>
        </w:rPr>
        <w:t xml:space="preserve"> p. 9 for one example of how </w:t>
      </w:r>
      <w:r w:rsidRPr="000D4F47">
        <w:rPr>
          <w:i/>
          <w:sz w:val="18"/>
        </w:rPr>
        <w:t xml:space="preserve">Taiheiki </w:t>
      </w:r>
      <w:r w:rsidRPr="000D4F47">
        <w:rPr>
          <w:sz w:val="18"/>
        </w:rPr>
        <w:t>exaggerates numbers.</w:t>
      </w:r>
    </w:p>
  </w:footnote>
  <w:footnote w:id="22">
    <w:p w14:paraId="58BAAA34"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The </w:t>
      </w:r>
      <w:r w:rsidRPr="000D4F47">
        <w:rPr>
          <w:i/>
          <w:sz w:val="18"/>
        </w:rPr>
        <w:t xml:space="preserve">Kandabon Taiheiki </w:t>
      </w:r>
      <w:r w:rsidRPr="000D4F47">
        <w:rPr>
          <w:sz w:val="18"/>
        </w:rPr>
        <w:t xml:space="preserve">states that 300 Ashikaga warriors fought 30,000 Kikuchi enemies. See maki 15, “Tatarahama kassen [no] koto,” p. 221. The </w:t>
      </w:r>
      <w:r w:rsidRPr="000D4F47">
        <w:rPr>
          <w:i/>
          <w:sz w:val="18"/>
        </w:rPr>
        <w:t xml:space="preserve">Seigen’in </w:t>
      </w:r>
      <w:r w:rsidRPr="000D4F47">
        <w:rPr>
          <w:sz w:val="18"/>
        </w:rPr>
        <w:t xml:space="preserve">version has the same numbers. See maki 15, “Tatarahama kassen [no] koto,” p. 424. </w:t>
      </w:r>
    </w:p>
  </w:footnote>
  <w:footnote w:id="23">
    <w:p w14:paraId="0C208527"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The battle, which resulted in the death of Kitabatake Akiie, resulted in 700 dead. See NBIK vol. 1, docs. 1215-7, 1338 (Kenmu 5).urū 7.6 Isshiki Dōyū segyōjō, p. 367, and vol. 7, docs. 6995-8, 1338 (Kenmu 5).urū 7.6 Isshiki Dōyū segyōjō utsushi, pp. 15-16.</w:t>
      </w:r>
    </w:p>
  </w:footnote>
  <w:footnote w:id="24">
    <w:p w14:paraId="56A0F119" w14:textId="77777777" w:rsidR="00D77CDE" w:rsidRPr="000D4F47" w:rsidRDefault="00D77CDE" w:rsidP="00D77CDE">
      <w:pPr>
        <w:pStyle w:val="NoSpacing"/>
        <w:jc w:val="both"/>
        <w:rPr>
          <w:sz w:val="18"/>
        </w:rPr>
      </w:pPr>
      <w:r w:rsidRPr="000D4F47">
        <w:rPr>
          <w:rStyle w:val="FootnoteReference"/>
        </w:rPr>
        <w:footnoteRef/>
      </w:r>
      <w:r>
        <w:rPr>
          <w:sz w:val="18"/>
        </w:rPr>
        <w:t xml:space="preserve"> </w:t>
      </w:r>
      <w:r w:rsidRPr="001B330B">
        <w:rPr>
          <w:sz w:val="18"/>
        </w:rPr>
        <w:t xml:space="preserve">Koakimoto, </w:t>
      </w:r>
      <w:r w:rsidRPr="001B330B">
        <w:rPr>
          <w:i/>
          <w:sz w:val="18"/>
        </w:rPr>
        <w:t>Taiheiki Baishōron no kenkyū</w:t>
      </w:r>
      <w:r w:rsidRPr="001B330B">
        <w:rPr>
          <w:sz w:val="18"/>
        </w:rPr>
        <w:t>, Kyūko shoin</w:t>
      </w:r>
      <w:r w:rsidRPr="001B330B">
        <w:rPr>
          <w:i/>
          <w:sz w:val="18"/>
        </w:rPr>
        <w:t xml:space="preserve">, </w:t>
      </w:r>
      <w:r w:rsidRPr="001B330B">
        <w:rPr>
          <w:sz w:val="18"/>
        </w:rPr>
        <w:t>2005, pp. 352-61, 394-95. Koakimoto also showed that the work does not recognize Southern Court promotions and therefore betrays a Northern Court bias.</w:t>
      </w:r>
    </w:p>
  </w:footnote>
  <w:footnote w:id="25">
    <w:p w14:paraId="774E344E"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Their ranks included Motouji, who served in 1315, and Nagauji, who served from 1313 through 1320, as well as a lay priest named Shinsei, who served in 1323-24 and 1327. See </w:t>
      </w:r>
      <w:r w:rsidRPr="000D4F47">
        <w:rPr>
          <w:i/>
          <w:sz w:val="18"/>
        </w:rPr>
        <w:t>Munakata shishi shiryōhen 1</w:t>
      </w:r>
      <w:r w:rsidRPr="000D4F47">
        <w:rPr>
          <w:sz w:val="18"/>
        </w:rPr>
        <w:t xml:space="preserve"> (Munakata, 1995), doc. 261, Genkō 4.8.13 (1324) Rokuhara seisatsu, p. 610 for reference to the Munakata as serving as Rokuhara administrators (</w:t>
      </w:r>
      <w:r w:rsidRPr="000D4F47">
        <w:rPr>
          <w:i/>
          <w:sz w:val="18"/>
        </w:rPr>
        <w:t>bugyōnin</w:t>
      </w:r>
      <w:r w:rsidRPr="000D4F47">
        <w:rPr>
          <w:sz w:val="18"/>
        </w:rPr>
        <w:t xml:space="preserve">). See also Mori Yukio, </w:t>
      </w:r>
      <w:r w:rsidRPr="000D4F47">
        <w:rPr>
          <w:i/>
          <w:sz w:val="18"/>
        </w:rPr>
        <w:t>Rokuhara tandai no kenkyū</w:t>
      </w:r>
      <w:r w:rsidRPr="000D4F47">
        <w:rPr>
          <w:sz w:val="18"/>
        </w:rPr>
        <w:t xml:space="preserve"> (Zoku gunsho ruijū kanseikai, 2005), pp. 78-79.  For a list of all known administrators, see pp. 140-54. </w:t>
      </w:r>
    </w:p>
  </w:footnote>
  <w:footnote w:id="26">
    <w:p w14:paraId="0E398794"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t>
      </w:r>
      <w:r w:rsidRPr="000D4F47">
        <w:rPr>
          <w:i/>
          <w:sz w:val="18"/>
        </w:rPr>
        <w:t>Rokuhara tandai no kenkyū</w:t>
      </w:r>
      <w:r w:rsidRPr="000D4F47">
        <w:rPr>
          <w:sz w:val="18"/>
        </w:rPr>
        <w:t>, p. 77 for analysis of the Rengeji kakochō (KI, vol. 41, doc. 32137, pp. 252-58). This record of the Rokuhara dead reveals that only one administrator perished at Banba. The Munakata had abandoned Rokuhara by</w:t>
      </w:r>
      <w:r>
        <w:rPr>
          <w:sz w:val="18"/>
        </w:rPr>
        <w:t xml:space="preserve"> this time. Amino Yoshihiko dis</w:t>
      </w:r>
      <w:r w:rsidRPr="000D4F47">
        <w:rPr>
          <w:sz w:val="18"/>
        </w:rPr>
        <w:t xml:space="preserve">cusses the duplicity of Iga Kanemitsu in his </w:t>
      </w:r>
      <w:r w:rsidRPr="000D4F47">
        <w:rPr>
          <w:i/>
          <w:sz w:val="18"/>
        </w:rPr>
        <w:t xml:space="preserve">Igyō no ōken </w:t>
      </w:r>
      <w:r w:rsidRPr="000D4F47">
        <w:rPr>
          <w:sz w:val="18"/>
        </w:rPr>
        <w:t>(Heibonsha, 1986), pp. 160-68. The</w:t>
      </w:r>
      <w:r w:rsidRPr="000D4F47">
        <w:rPr>
          <w:i/>
          <w:sz w:val="18"/>
        </w:rPr>
        <w:t xml:space="preserve"> Baishōron</w:t>
      </w:r>
      <w:r w:rsidRPr="000D4F47">
        <w:rPr>
          <w:sz w:val="18"/>
        </w:rPr>
        <w:t xml:space="preserve"> author mentions Iga Kanemitsu when describing Go-Daigo’s new institutions of governance. </w:t>
      </w:r>
    </w:p>
  </w:footnote>
  <w:footnote w:id="27">
    <w:p w14:paraId="5012FA54"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Go-Horikawa was the grandson of Emperor Takakura, while Go-Toba was Takakura’s son (hence Go-Horikawa’s uncle). </w:t>
      </w:r>
    </w:p>
  </w:footnote>
  <w:footnote w:id="28">
    <w:p w14:paraId="031A3FE3" w14:textId="77777777" w:rsidR="00D77CDE" w:rsidRPr="000D4F47" w:rsidRDefault="00D77CDE" w:rsidP="00D77CDE">
      <w:pPr>
        <w:pStyle w:val="NoSpacing"/>
        <w:jc w:val="both"/>
        <w:rPr>
          <w:color w:val="3366FF"/>
          <w:sz w:val="18"/>
        </w:rPr>
      </w:pPr>
      <w:r w:rsidRPr="000D4F47">
        <w:rPr>
          <w:rStyle w:val="FootnoteReference"/>
        </w:rPr>
        <w:footnoteRef/>
      </w:r>
      <w:r w:rsidRPr="000D4F47">
        <w:rPr>
          <w:sz w:val="18"/>
        </w:rPr>
        <w:t xml:space="preserve"> Perhaps the New Year </w:t>
      </w:r>
      <w:r w:rsidRPr="000D4F47">
        <w:rPr>
          <w:i/>
          <w:sz w:val="18"/>
        </w:rPr>
        <w:t xml:space="preserve">sechie </w:t>
      </w:r>
      <w:r w:rsidRPr="000D4F47">
        <w:rPr>
          <w:sz w:val="18"/>
        </w:rPr>
        <w:t xml:space="preserve">rites played a larger role in determining the start of an imperial reign than has been commonly assumed. </w:t>
      </w:r>
      <w:r w:rsidRPr="000D4F47">
        <w:rPr>
          <w:i/>
          <w:sz w:val="18"/>
        </w:rPr>
        <w:t xml:space="preserve">Baishōron </w:t>
      </w:r>
      <w:r w:rsidRPr="000D4F47">
        <w:rPr>
          <w:sz w:val="18"/>
        </w:rPr>
        <w:t>consistently dates imperial reigns to the year after the emperor succeeded to the throne. The one exception is that of Hanazono, who came to the throne on Enkyō 1.12.28</w:t>
      </w:r>
      <w:r w:rsidRPr="000D4F47">
        <w:rPr>
          <w:rFonts w:cs="MS Mincho"/>
          <w:sz w:val="18"/>
        </w:rPr>
        <w:t xml:space="preserve"> (</w:t>
      </w:r>
      <w:r w:rsidRPr="000D4F47">
        <w:rPr>
          <w:sz w:val="18"/>
        </w:rPr>
        <w:t>1308). The fact that this happened so close to the New Year apparently led to this inconsistency, in that his reign should have been listed as starting from the following year.</w:t>
      </w:r>
    </w:p>
  </w:footnote>
  <w:footnote w:id="29">
    <w:p w14:paraId="21119300"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Murata Masashi, ed., </w:t>
      </w:r>
      <w:r w:rsidRPr="000D4F47">
        <w:rPr>
          <w:rFonts w:cs="Times"/>
          <w:i/>
          <w:sz w:val="18"/>
        </w:rPr>
        <w:t>Fūjinroku</w:t>
      </w:r>
      <w:r w:rsidRPr="000D4F47">
        <w:rPr>
          <w:sz w:val="18"/>
        </w:rPr>
        <w:t xml:space="preserve"> (</w:t>
      </w:r>
      <w:r w:rsidRPr="000D4F47">
        <w:rPr>
          <w:i/>
          <w:sz w:val="18"/>
        </w:rPr>
        <w:t>Murata Masashi chosakush</w:t>
      </w:r>
      <w:r w:rsidRPr="000D4F47">
        <w:rPr>
          <w:rFonts w:cs="Times"/>
          <w:i/>
          <w:sz w:val="18"/>
        </w:rPr>
        <w:t>ū,</w:t>
      </w:r>
      <w:r w:rsidRPr="000D4F47">
        <w:rPr>
          <w:rFonts w:cs="Times"/>
          <w:sz w:val="18"/>
        </w:rPr>
        <w:t xml:space="preserve"> vol</w:t>
      </w:r>
      <w:r w:rsidRPr="000D4F47">
        <w:rPr>
          <w:sz w:val="18"/>
        </w:rPr>
        <w:t>. 7 (Kyoto: Shibunkaku, 1986), pp. 13-14.</w:t>
      </w:r>
    </w:p>
  </w:footnote>
  <w:footnote w:id="30">
    <w:p w14:paraId="3A412EEF"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For analysis of the Jimyōin perspective, see Conlan, </w:t>
      </w:r>
      <w:r w:rsidRPr="000D4F47">
        <w:rPr>
          <w:i/>
          <w:sz w:val="18"/>
        </w:rPr>
        <w:t xml:space="preserve">From Sovereign to Symbol. </w:t>
      </w:r>
      <w:r w:rsidRPr="000D4F47">
        <w:rPr>
          <w:sz w:val="18"/>
        </w:rPr>
        <w:t xml:space="preserve"> </w:t>
      </w:r>
    </w:p>
  </w:footnote>
  <w:footnote w:id="31">
    <w:p w14:paraId="71B25FB0"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For the head of Munakata shrine aiding Hidetoki, see </w:t>
      </w:r>
      <w:r w:rsidRPr="000D4F47">
        <w:rPr>
          <w:i/>
          <w:sz w:val="18"/>
        </w:rPr>
        <w:t>Hakata Nikki</w:t>
      </w:r>
      <w:r w:rsidRPr="000D4F47">
        <w:rPr>
          <w:sz w:val="18"/>
        </w:rPr>
        <w:t xml:space="preserve">, 1333.4.2, reproduced in </w:t>
      </w:r>
      <w:r w:rsidRPr="000D4F47">
        <w:rPr>
          <w:i/>
          <w:sz w:val="18"/>
        </w:rPr>
        <w:t xml:space="preserve">Munakata shishi shiryōhen </w:t>
      </w:r>
      <w:r w:rsidRPr="000D4F47">
        <w:rPr>
          <w:sz w:val="18"/>
        </w:rPr>
        <w:t xml:space="preserve">1, p. 629. For the son of Munakata Ujikatsu taking part in the destruction of Hidetoki, see Genkō 3.6.2 (1333) Hizen Munakata Dotomaru chakutōjō, p. 632. </w:t>
      </w:r>
    </w:p>
  </w:footnote>
  <w:footnote w:id="32">
    <w:p w14:paraId="630DCD1C"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See his genealogy, reproduced in </w:t>
      </w:r>
      <w:r w:rsidRPr="000D4F47">
        <w:rPr>
          <w:i/>
          <w:sz w:val="18"/>
        </w:rPr>
        <w:t xml:space="preserve">Munakata shishi shiryōhen </w:t>
      </w:r>
      <w:r w:rsidRPr="000D4F47">
        <w:rPr>
          <w:sz w:val="18"/>
        </w:rPr>
        <w:t xml:space="preserve">1, p. 626 and 721. </w:t>
      </w:r>
    </w:p>
  </w:footnote>
  <w:footnote w:id="33">
    <w:p w14:paraId="238293D9"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t>
      </w:r>
      <w:r w:rsidRPr="000D4F47">
        <w:rPr>
          <w:i/>
          <w:sz w:val="18"/>
        </w:rPr>
        <w:t xml:space="preserve">Munakata shishi shiryōhen </w:t>
      </w:r>
      <w:r w:rsidRPr="000D4F47">
        <w:rPr>
          <w:sz w:val="18"/>
        </w:rPr>
        <w:t xml:space="preserve">1, 1.21 Go-Daigo tennō rinji, p. 646. </w:t>
      </w:r>
    </w:p>
  </w:footnote>
  <w:footnote w:id="34">
    <w:p w14:paraId="636EBC27"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Teisei Munakata Daigūji keifu, in </w:t>
      </w:r>
      <w:r w:rsidRPr="000D4F47">
        <w:rPr>
          <w:i/>
          <w:sz w:val="18"/>
        </w:rPr>
        <w:t xml:space="preserve">Munakata shishi shiryōhen </w:t>
      </w:r>
      <w:r w:rsidRPr="000D4F47">
        <w:rPr>
          <w:sz w:val="18"/>
        </w:rPr>
        <w:t>1, See p. 677 for the Munakataki tsuikō, which refers to Ujitoshi and others following Takauji to Kyoto in 1336 and remaining there for 9 years. For Ujinori’s resignation, see doc. 315, Munakata mokuroku, p. 673. For another narrative of Ujinori and Ujitoshi, see pp. 704-5.</w:t>
      </w:r>
    </w:p>
  </w:footnote>
  <w:footnote w:id="35">
    <w:p w14:paraId="2A351995"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w:t>
      </w:r>
      <w:r w:rsidRPr="000D4F47">
        <w:rPr>
          <w:i/>
          <w:sz w:val="18"/>
        </w:rPr>
        <w:t xml:space="preserve">Munakata shishi shiryōhen </w:t>
      </w:r>
      <w:r w:rsidRPr="000D4F47">
        <w:rPr>
          <w:sz w:val="18"/>
        </w:rPr>
        <w:t xml:space="preserve">1, doc. 309, Kenmu 2.12.20 (1335) Asamachi Zen’e moshijō, p. 651. See also the mokuroku for the Munakata documents revealing that on Kenmu 2.11.8 Ashikaga Takauji confirmed an Asamachi will, suggesting their early support, since this was just when when his initial rebellion against Go-Daigo was becoming manifest. </w:t>
      </w:r>
    </w:p>
  </w:footnote>
  <w:footnote w:id="36">
    <w:p w14:paraId="522334CE" w14:textId="77777777" w:rsidR="00D77CDE" w:rsidRPr="000D4F47" w:rsidRDefault="00D77CDE" w:rsidP="00D77CDE">
      <w:pPr>
        <w:pStyle w:val="NoSpacing"/>
        <w:jc w:val="both"/>
        <w:rPr>
          <w:color w:val="3366FF"/>
          <w:sz w:val="18"/>
        </w:rPr>
      </w:pPr>
      <w:r w:rsidRPr="000D4F47">
        <w:rPr>
          <w:rStyle w:val="FootnoteReference"/>
        </w:rPr>
        <w:footnoteRef/>
      </w:r>
      <w:r w:rsidRPr="000D4F47">
        <w:rPr>
          <w:sz w:val="18"/>
        </w:rPr>
        <w:t xml:space="preserve"> </w:t>
      </w:r>
      <w:r w:rsidRPr="000D4F47">
        <w:rPr>
          <w:i/>
          <w:sz w:val="18"/>
        </w:rPr>
        <w:t xml:space="preserve">Munakata shishi shiryōhen </w:t>
      </w:r>
      <w:r w:rsidRPr="000D4F47">
        <w:rPr>
          <w:sz w:val="18"/>
        </w:rPr>
        <w:t>1, Kenmu 3. 2.18 (1336) Asamachi Mitsuyo chakutōjō, p. 652-53 and 1336.3.26 Ashikaga Takauji bugyōnin rensho hōsho, pp. 656-66. A Shōni wrote this document, but his identity is unknown. Printed versions attribute it erroneously (as Seno Sei’ichirō has shown) to Shōni Fuyutsuke.</w:t>
      </w:r>
      <w:r w:rsidRPr="000D4F47">
        <w:rPr>
          <w:color w:val="3366FF"/>
          <w:sz w:val="18"/>
        </w:rPr>
        <w:t xml:space="preserve"> </w:t>
      </w:r>
    </w:p>
  </w:footnote>
  <w:footnote w:id="37">
    <w:p w14:paraId="2BADAE36"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For the genealogy of the Asamachi, see </w:t>
      </w:r>
      <w:r w:rsidRPr="000D4F47">
        <w:rPr>
          <w:i/>
          <w:sz w:val="18"/>
        </w:rPr>
        <w:t xml:space="preserve">Munakata shishi shiryōhen </w:t>
      </w:r>
      <w:r w:rsidRPr="000D4F47">
        <w:rPr>
          <w:sz w:val="18"/>
        </w:rPr>
        <w:t xml:space="preserve">1, p. 617; for the military documents, see </w:t>
      </w:r>
      <w:r w:rsidRPr="000D4F47">
        <w:rPr>
          <w:i/>
          <w:sz w:val="18"/>
        </w:rPr>
        <w:t>ibid</w:t>
      </w:r>
      <w:r w:rsidRPr="000D4F47">
        <w:rPr>
          <w:sz w:val="18"/>
        </w:rPr>
        <w:t xml:space="preserve">., doc. 324, Kenmu 3.25 9 (1336) Nagano Suketoyo gunchūjō utsushi, pp. 679-80.  Taneyasu’s name appears as Kyoku Yagorō.  Tellingly, this document also mentions the Aeba, who figure in </w:t>
      </w:r>
      <w:r w:rsidRPr="000D4F47">
        <w:rPr>
          <w:i/>
          <w:sz w:val="18"/>
        </w:rPr>
        <w:t>Baishōron</w:t>
      </w:r>
      <w:r w:rsidRPr="000D4F47">
        <w:rPr>
          <w:sz w:val="18"/>
        </w:rPr>
        <w:t xml:space="preserve"> as well. </w:t>
      </w:r>
    </w:p>
  </w:footnote>
  <w:footnote w:id="38">
    <w:p w14:paraId="41010C42"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See </w:t>
      </w:r>
      <w:r w:rsidRPr="000D4F47">
        <w:rPr>
          <w:i/>
          <w:sz w:val="18"/>
        </w:rPr>
        <w:t xml:space="preserve">Munakata shishi shiryōhen </w:t>
      </w:r>
      <w:r w:rsidRPr="000D4F47">
        <w:rPr>
          <w:sz w:val="18"/>
        </w:rPr>
        <w:t xml:space="preserve">1, Munakata mokuroku, doc. 317, p. 674. </w:t>
      </w:r>
    </w:p>
  </w:footnote>
  <w:footnote w:id="39">
    <w:p w14:paraId="6040141F"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See his genealogy, reproduced in </w:t>
      </w:r>
      <w:r w:rsidRPr="000D4F47">
        <w:rPr>
          <w:i/>
          <w:sz w:val="18"/>
        </w:rPr>
        <w:t xml:space="preserve">Munakata shishi shiryōhen </w:t>
      </w:r>
      <w:r w:rsidRPr="000D4F47">
        <w:rPr>
          <w:sz w:val="18"/>
        </w:rPr>
        <w:t xml:space="preserve">1, pp. 626 and 721. Yakurō Ujiie gave these lands to the head of the shrine in 1363. See the listing of Munakata documents on pp. 765-66. </w:t>
      </w:r>
    </w:p>
  </w:footnote>
  <w:footnote w:id="40">
    <w:p w14:paraId="1550C26E"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One can verify Ujiie’s ownership of this Katakuma post, and the fact that he passed it to the Munakata main line in 1363. However, the edict from Takauji himself is missing. This is perhaps not surprising, since some of the most vivid military petitions were taken from the Munakata during the Tokugawa era. </w:t>
      </w:r>
    </w:p>
  </w:footnote>
  <w:footnote w:id="41">
    <w:p w14:paraId="563FAF48"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Other Munakata narratives, dating most likely from the late sixteenth century, resemble </w:t>
      </w:r>
      <w:r w:rsidRPr="000D4F47">
        <w:rPr>
          <w:i/>
          <w:sz w:val="18"/>
        </w:rPr>
        <w:t>Baishōron</w:t>
      </w:r>
      <w:r w:rsidRPr="000D4F47">
        <w:rPr>
          <w:sz w:val="18"/>
        </w:rPr>
        <w:t xml:space="preserve">. </w:t>
      </w:r>
      <w:r w:rsidRPr="000D4F47">
        <w:rPr>
          <w:i/>
          <w:sz w:val="18"/>
        </w:rPr>
        <w:t xml:space="preserve">Munakata shishi shiryōhen </w:t>
      </w:r>
      <w:r w:rsidRPr="000D4F47">
        <w:rPr>
          <w:sz w:val="18"/>
        </w:rPr>
        <w:t xml:space="preserve">1, doc. 347, Munakata keifu, pp. 704-5. Some shrine histories emphasize the succession to office as well, a trait evident in the earlier passages of </w:t>
      </w:r>
      <w:r w:rsidRPr="000D4F47">
        <w:rPr>
          <w:i/>
          <w:sz w:val="18"/>
        </w:rPr>
        <w:t xml:space="preserve">Baishōron. </w:t>
      </w:r>
      <w:r w:rsidRPr="000D4F47">
        <w:rPr>
          <w:sz w:val="18"/>
        </w:rPr>
        <w:t xml:space="preserve">See </w:t>
      </w:r>
      <w:r w:rsidRPr="000D4F47">
        <w:rPr>
          <w:i/>
          <w:sz w:val="18"/>
        </w:rPr>
        <w:t>ibid</w:t>
      </w:r>
      <w:r w:rsidRPr="000D4F47">
        <w:rPr>
          <w:sz w:val="18"/>
        </w:rPr>
        <w:t>., doc. 358, Munakata shamu shidai, pp. 706-710.</w:t>
      </w:r>
    </w:p>
  </w:footnote>
  <w:footnote w:id="42">
    <w:p w14:paraId="64343545"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For this fascinating analysis, see Koakimoto Dan, “‘</w:t>
      </w:r>
      <w:r w:rsidRPr="000D4F47">
        <w:rPr>
          <w:i/>
          <w:sz w:val="18"/>
        </w:rPr>
        <w:t>Baishōron</w:t>
      </w:r>
      <w:r w:rsidRPr="000D4F47">
        <w:rPr>
          <w:sz w:val="18"/>
        </w:rPr>
        <w:t>’ to ‘</w:t>
      </w:r>
      <w:r w:rsidRPr="000D4F47">
        <w:rPr>
          <w:i/>
          <w:sz w:val="18"/>
        </w:rPr>
        <w:t>Taiheiki</w:t>
      </w:r>
      <w:r w:rsidRPr="000D4F47">
        <w:rPr>
          <w:sz w:val="18"/>
        </w:rPr>
        <w:t xml:space="preserve">’” in </w:t>
      </w:r>
      <w:r w:rsidRPr="000D4F47">
        <w:rPr>
          <w:i/>
          <w:sz w:val="18"/>
        </w:rPr>
        <w:t>Taiheiki Baishōron no kenkyū</w:t>
      </w:r>
      <w:r w:rsidRPr="000D4F47">
        <w:rPr>
          <w:sz w:val="18"/>
        </w:rPr>
        <w:t xml:space="preserve">, pp. 394-410. Koakimoto also suggests that the </w:t>
      </w:r>
      <w:r w:rsidRPr="000D4F47">
        <w:rPr>
          <w:i/>
          <w:sz w:val="18"/>
        </w:rPr>
        <w:t xml:space="preserve">Kandabon </w:t>
      </w:r>
      <w:r w:rsidRPr="000D4F47">
        <w:rPr>
          <w:sz w:val="18"/>
        </w:rPr>
        <w:t xml:space="preserve">version of </w:t>
      </w:r>
      <w:r w:rsidRPr="000D4F47">
        <w:rPr>
          <w:i/>
          <w:sz w:val="18"/>
        </w:rPr>
        <w:t>Taiheiki</w:t>
      </w:r>
      <w:r w:rsidRPr="000D4F47">
        <w:rPr>
          <w:sz w:val="18"/>
        </w:rPr>
        <w:t xml:space="preserve"> is the oldest version of the work. Unfortunately, the </w:t>
      </w:r>
      <w:r w:rsidRPr="000D4F47">
        <w:rPr>
          <w:i/>
          <w:sz w:val="18"/>
        </w:rPr>
        <w:t>Kandabon</w:t>
      </w:r>
      <w:r w:rsidRPr="000D4F47">
        <w:rPr>
          <w:sz w:val="18"/>
        </w:rPr>
        <w:t xml:space="preserve"> is incomplete, but the </w:t>
      </w:r>
      <w:r w:rsidRPr="000D4F47">
        <w:rPr>
          <w:i/>
          <w:sz w:val="18"/>
        </w:rPr>
        <w:t>Jingū chōkokanbon</w:t>
      </w:r>
      <w:r w:rsidRPr="000D4F47">
        <w:rPr>
          <w:sz w:val="18"/>
        </w:rPr>
        <w:t xml:space="preserve"> represents a complete, albeit slightly later, copy based on it. </w:t>
      </w:r>
    </w:p>
  </w:footnote>
  <w:footnote w:id="43">
    <w:p w14:paraId="41EC8949"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Compare the </w:t>
      </w:r>
      <w:r w:rsidRPr="000D4F47">
        <w:rPr>
          <w:i/>
          <w:sz w:val="18"/>
        </w:rPr>
        <w:t>Kandabon</w:t>
      </w:r>
      <w:r w:rsidRPr="000D4F47">
        <w:rPr>
          <w:sz w:val="18"/>
        </w:rPr>
        <w:t xml:space="preserve"> </w:t>
      </w:r>
      <w:r w:rsidRPr="000D4F47">
        <w:rPr>
          <w:i/>
          <w:sz w:val="18"/>
        </w:rPr>
        <w:t xml:space="preserve">Taiheiki, </w:t>
      </w:r>
      <w:r w:rsidRPr="000D4F47">
        <w:rPr>
          <w:sz w:val="18"/>
        </w:rPr>
        <w:t xml:space="preserve">maki 17, “Sanmon Nanto ni chō suru koto,” p. 266 and Koakimoto, </w:t>
      </w:r>
      <w:r w:rsidRPr="000D4F47">
        <w:rPr>
          <w:i/>
          <w:sz w:val="18"/>
        </w:rPr>
        <w:t>Taiheiki, Baishōron</w:t>
      </w:r>
      <w:r w:rsidRPr="000D4F47">
        <w:rPr>
          <w:sz w:val="18"/>
        </w:rPr>
        <w:t xml:space="preserve"> no </w:t>
      </w:r>
      <w:r w:rsidRPr="000D4F47">
        <w:rPr>
          <w:i/>
          <w:sz w:val="18"/>
        </w:rPr>
        <w:t>kenkyū</w:t>
      </w:r>
      <w:r w:rsidRPr="000D4F47">
        <w:rPr>
          <w:sz w:val="18"/>
        </w:rPr>
        <w:t>, p. 396.</w:t>
      </w:r>
    </w:p>
  </w:footnote>
  <w:footnote w:id="44">
    <w:p w14:paraId="2A5B7A9B"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This error appears in the oldest </w:t>
      </w:r>
      <w:r w:rsidRPr="000D4F47">
        <w:rPr>
          <w:i/>
          <w:sz w:val="18"/>
        </w:rPr>
        <w:t xml:space="preserve">Kandabon </w:t>
      </w:r>
      <w:r w:rsidRPr="000D4F47">
        <w:rPr>
          <w:sz w:val="18"/>
        </w:rPr>
        <w:t xml:space="preserve">text of </w:t>
      </w:r>
      <w:r w:rsidRPr="000D4F47">
        <w:rPr>
          <w:i/>
          <w:sz w:val="18"/>
        </w:rPr>
        <w:t>Taiheiki</w:t>
      </w:r>
      <w:r w:rsidRPr="000D4F47">
        <w:rPr>
          <w:sz w:val="18"/>
        </w:rPr>
        <w:t>. See maki 9, “Ashikaga dono jōraku no koto,” pp. 85-87 and also the</w:t>
      </w:r>
      <w:r w:rsidRPr="000D4F47">
        <w:rPr>
          <w:i/>
          <w:sz w:val="18"/>
        </w:rPr>
        <w:t xml:space="preserve"> Seigen’in </w:t>
      </w:r>
      <w:r w:rsidRPr="000D4F47">
        <w:rPr>
          <w:sz w:val="18"/>
        </w:rPr>
        <w:t xml:space="preserve">version, maki 9, “Ashikaga dono jōraku no koto,” pp. 205-11. It was corrected in the later </w:t>
      </w:r>
      <w:r w:rsidRPr="000D4F47">
        <w:rPr>
          <w:i/>
          <w:sz w:val="18"/>
        </w:rPr>
        <w:t>Jingū chōkokanbon</w:t>
      </w:r>
      <w:r w:rsidRPr="000D4F47">
        <w:rPr>
          <w:sz w:val="18"/>
        </w:rPr>
        <w:t xml:space="preserve"> version. See Hasegawa, </w:t>
      </w:r>
      <w:r w:rsidRPr="000D4F47">
        <w:rPr>
          <w:i/>
          <w:sz w:val="18"/>
        </w:rPr>
        <w:t>Taiheiki</w:t>
      </w:r>
      <w:r w:rsidRPr="000D4F47">
        <w:rPr>
          <w:sz w:val="18"/>
        </w:rPr>
        <w:t xml:space="preserve">, maki 9, “Ashikaga dono onjōraku no koto,” pp. 215-16. For analysis, see Koakimoto Dan, </w:t>
      </w:r>
      <w:r w:rsidRPr="000D4F47">
        <w:rPr>
          <w:i/>
          <w:sz w:val="18"/>
        </w:rPr>
        <w:t>Taiheiki Baishōron</w:t>
      </w:r>
      <w:r w:rsidRPr="000D4F47">
        <w:rPr>
          <w:sz w:val="18"/>
        </w:rPr>
        <w:t xml:space="preserve"> no </w:t>
      </w:r>
      <w:r w:rsidRPr="000D4F47">
        <w:rPr>
          <w:i/>
          <w:sz w:val="18"/>
        </w:rPr>
        <w:t>kenkyū, pp</w:t>
      </w:r>
      <w:r w:rsidRPr="000D4F47">
        <w:rPr>
          <w:sz w:val="18"/>
        </w:rPr>
        <w:t xml:space="preserve">. 397-99. </w:t>
      </w:r>
    </w:p>
  </w:footnote>
  <w:footnote w:id="45">
    <w:p w14:paraId="127B51EC" w14:textId="77777777" w:rsidR="00D77CDE" w:rsidRPr="000D4F47" w:rsidRDefault="00D77CDE" w:rsidP="00D77CDE">
      <w:pPr>
        <w:pStyle w:val="NoSpacing"/>
        <w:jc w:val="both"/>
        <w:rPr>
          <w:sz w:val="18"/>
        </w:rPr>
      </w:pPr>
      <w:r w:rsidRPr="000D4F47">
        <w:rPr>
          <w:rStyle w:val="FootnoteReference"/>
        </w:rPr>
        <w:footnoteRef/>
      </w:r>
      <w:r w:rsidRPr="000D4F47">
        <w:rPr>
          <w:sz w:val="18"/>
        </w:rPr>
        <w:t xml:space="preserve"> Kitabatake Chikafusa, </w:t>
      </w:r>
      <w:r w:rsidRPr="000D4F47">
        <w:rPr>
          <w:i/>
          <w:sz w:val="18"/>
        </w:rPr>
        <w:t xml:space="preserve">Jinnō shōtōki (Nihon koten bungaku taikei, </w:t>
      </w:r>
      <w:r w:rsidRPr="000D4F47">
        <w:rPr>
          <w:sz w:val="18"/>
        </w:rPr>
        <w:t>Iwanami Shoten, 1965)</w:t>
      </w:r>
      <w:r w:rsidRPr="000D4F47">
        <w:rPr>
          <w:color w:val="FF0000"/>
          <w:sz w:val="18"/>
        </w:rPr>
        <w:t>,</w:t>
      </w:r>
      <w:r w:rsidRPr="000D4F47">
        <w:rPr>
          <w:sz w:val="18"/>
        </w:rPr>
        <w:t xml:space="preserve"> pp. 173, 189. See also Varley, </w:t>
      </w:r>
      <w:r w:rsidRPr="000D4F47">
        <w:rPr>
          <w:i/>
          <w:sz w:val="18"/>
        </w:rPr>
        <w:t xml:space="preserve">A Chronicle of Gods and Sovereigns </w:t>
      </w:r>
      <w:r w:rsidRPr="000D4F47">
        <w:rPr>
          <w:sz w:val="18"/>
        </w:rPr>
        <w:t xml:space="preserve">(New York: Columbia University Press, 1980), pp. 245, 266.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DE"/>
    <w:rsid w:val="0051248B"/>
    <w:rsid w:val="00740D45"/>
    <w:rsid w:val="00793A7D"/>
    <w:rsid w:val="00933F1D"/>
    <w:rsid w:val="00A32D86"/>
    <w:rsid w:val="00D77CDE"/>
    <w:rsid w:val="00E2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D29D3EC"/>
  <w15:chartTrackingRefBased/>
  <w15:docId w15:val="{1161B30C-082A-DA4B-BC90-F35CFE1E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DE"/>
    <w:pPr>
      <w:keepLines/>
      <w:widowControl w:val="0"/>
    </w:pPr>
    <w:rPr>
      <w:rFonts w:ascii="Adobe Garamond Pro" w:eastAsia="MS Mincho" w:hAnsi="Adobe Garamond Pro" w:cs="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77CDE"/>
    <w:rPr>
      <w:rFonts w:ascii="Adobe Garamond Pro" w:hAnsi="Adobe Garamond Pro"/>
      <w:sz w:val="18"/>
      <w:vertAlign w:val="superscript"/>
    </w:rPr>
  </w:style>
  <w:style w:type="paragraph" w:styleId="NoSpacing">
    <w:name w:val="No Spacing"/>
    <w:link w:val="NoSpacingChar"/>
    <w:uiPriority w:val="1"/>
    <w:qFormat/>
    <w:rsid w:val="00D77CDE"/>
    <w:pPr>
      <w:spacing w:line="276" w:lineRule="auto"/>
    </w:pPr>
    <w:rPr>
      <w:rFonts w:ascii="Adobe Garamond Pro" w:eastAsia="MS Mincho" w:hAnsi="Adobe Garamond Pro" w:cs="Times New Roman"/>
      <w:sz w:val="22"/>
      <w:szCs w:val="18"/>
      <w:lang w:eastAsia="en-US"/>
    </w:rPr>
  </w:style>
  <w:style w:type="character" w:customStyle="1" w:styleId="NoSpacingChar">
    <w:name w:val="No Spacing Char"/>
    <w:link w:val="NoSpacing"/>
    <w:uiPriority w:val="1"/>
    <w:rsid w:val="00D77CDE"/>
    <w:rPr>
      <w:rFonts w:ascii="Adobe Garamond Pro" w:eastAsia="MS Mincho" w:hAnsi="Adobe Garamond Pro" w:cs="Times New Roman"/>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12319</Characters>
  <Application>Microsoft Office Word</Application>
  <DocSecurity>0</DocSecurity>
  <Lines>102</Lines>
  <Paragraphs>28</Paragraphs>
  <ScaleCrop>false</ScaleCrop>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2020-02-13T12:22:00Z</dcterms:created>
  <dcterms:modified xsi:type="dcterms:W3CDTF">2020-02-13T12:22:00Z</dcterms:modified>
</cp:coreProperties>
</file>